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6"/>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w:t>
            </w:r>
            <w:r>
              <w:rPr>
                <w:rFonts w:hint="eastAsia" w:eastAsia="隶书"/>
                <w:b/>
                <w:bCs/>
                <w:sz w:val="24"/>
                <w:lang w:val="en-US" w:eastAsia="zh-CN"/>
              </w:rPr>
              <w:t>X</w:t>
            </w:r>
            <w:r>
              <w:rPr>
                <w:rFonts w:hint="eastAsia" w:eastAsia="隶书"/>
                <w:b/>
                <w:bCs/>
                <w:sz w:val="24"/>
              </w:rPr>
              <w:t>PS/ZN-</w:t>
            </w:r>
            <w:r>
              <w:rPr>
                <w:rFonts w:hint="eastAsia" w:eastAsia="隶书"/>
                <w:b/>
                <w:bCs/>
                <w:sz w:val="24"/>
                <w:lang w:val="en-US" w:eastAsia="zh-CN"/>
              </w:rPr>
              <w:t>RQZ</w:t>
            </w:r>
            <w:r>
              <w:rPr>
                <w:rFonts w:hint="eastAsia" w:eastAsia="隶书"/>
                <w:b/>
                <w:bCs/>
                <w:sz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23"/>
          <w:sz w:val="84"/>
          <w:szCs w:val="84"/>
          <w:lang w:val="en-US" w:eastAsia="zh-CN"/>
        </w:rPr>
      </w:pPr>
      <w:r>
        <w:rPr>
          <w:rFonts w:hint="eastAsia" w:ascii="隶书" w:hAnsi="宋体" w:eastAsia="隶书" w:cs="宋体"/>
          <w:b/>
          <w:bCs/>
          <w:spacing w:val="23"/>
          <w:sz w:val="84"/>
          <w:szCs w:val="84"/>
        </w:rPr>
        <w:t>特种设备</w:t>
      </w:r>
      <w:r>
        <w:rPr>
          <w:rFonts w:hint="eastAsia" w:ascii="隶书" w:hAnsi="宋体" w:eastAsia="隶书" w:cs="宋体"/>
          <w:b/>
          <w:bCs/>
          <w:spacing w:val="23"/>
          <w:sz w:val="84"/>
          <w:szCs w:val="84"/>
          <w:lang w:val="en-US" w:eastAsia="zh-CN"/>
        </w:rPr>
        <w:t>行政许可</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0"/>
          <w:sz w:val="84"/>
          <w:szCs w:val="84"/>
        </w:rPr>
      </w:pPr>
      <w:r>
        <w:rPr>
          <w:rFonts w:hint="eastAsia" w:ascii="隶书" w:hAnsi="宋体" w:eastAsia="隶书" w:cs="宋体"/>
          <w:b/>
          <w:bCs/>
          <w:spacing w:val="0"/>
          <w:sz w:val="84"/>
          <w:szCs w:val="84"/>
          <w:lang w:val="en-US" w:eastAsia="zh-CN"/>
        </w:rPr>
        <w:t>现场</w:t>
      </w:r>
      <w:r>
        <w:rPr>
          <w:rFonts w:hint="eastAsia" w:ascii="隶书" w:hAnsi="宋体" w:eastAsia="隶书" w:cs="宋体"/>
          <w:b/>
          <w:bCs/>
          <w:spacing w:val="0"/>
          <w:sz w:val="84"/>
          <w:szCs w:val="84"/>
        </w:rPr>
        <w:t>鉴定评审指南</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隶书" w:hAnsi="宋体" w:eastAsia="隶书" w:cs="宋体"/>
          <w:b/>
          <w:bCs/>
          <w:spacing w:val="0"/>
          <w:sz w:val="84"/>
          <w:szCs w:val="8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0"/>
          <w:sz w:val="84"/>
          <w:szCs w:val="84"/>
          <w:lang w:val="en-US" w:eastAsia="zh-CN"/>
        </w:rPr>
      </w:pPr>
      <w:r>
        <w:rPr>
          <w:rFonts w:hint="eastAsia" w:ascii="隶书" w:hAnsi="宋体" w:eastAsia="隶书" w:cs="宋体"/>
          <w:b/>
          <w:bCs/>
          <w:spacing w:val="0"/>
          <w:sz w:val="84"/>
          <w:szCs w:val="84"/>
          <w:lang w:val="en-US" w:eastAsia="zh-CN"/>
        </w:rPr>
        <w:t>第</w:t>
      </w:r>
      <w:r>
        <w:rPr>
          <w:rFonts w:hint="eastAsia" w:ascii="隶书" w:hAnsi="宋体" w:eastAsia="隶书" w:cs="宋体"/>
          <w:b/>
          <w:bCs/>
          <w:spacing w:val="0"/>
          <w:sz w:val="72"/>
          <w:szCs w:val="72"/>
          <w:lang w:val="en-US" w:eastAsia="zh-CN"/>
        </w:rPr>
        <w:t>5</w:t>
      </w:r>
      <w:r>
        <w:rPr>
          <w:rFonts w:hint="eastAsia" w:ascii="隶书" w:hAnsi="宋体" w:eastAsia="隶书" w:cs="宋体"/>
          <w:b/>
          <w:bCs/>
          <w:spacing w:val="0"/>
          <w:sz w:val="84"/>
          <w:szCs w:val="84"/>
          <w:lang w:val="en-US" w:eastAsia="zh-CN"/>
        </w:rPr>
        <w:t>部分 专用指南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隶书" w:hAnsi="宋体" w:eastAsia="隶书" w:cs="宋体"/>
          <w:b/>
          <w:bCs/>
          <w:spacing w:val="0"/>
          <w:sz w:val="84"/>
          <w:szCs w:val="84"/>
          <w:lang w:val="en-US" w:eastAsia="zh-CN"/>
        </w:rPr>
      </w:pPr>
      <w:r>
        <w:rPr>
          <w:rFonts w:hint="eastAsia" w:ascii="隶书" w:hAnsi="宋体" w:eastAsia="隶书" w:cs="宋体"/>
          <w:b/>
          <w:bCs/>
          <w:spacing w:val="0"/>
          <w:sz w:val="84"/>
          <w:szCs w:val="84"/>
          <w:lang w:val="en-US" w:eastAsia="zh-CN"/>
        </w:rPr>
        <w:t>压力容器制造单位</w:t>
      </w:r>
    </w:p>
    <w:p>
      <w:pPr>
        <w:jc w:val="center"/>
        <w:rPr>
          <w:rFonts w:ascii="宋体" w:hAnsi="宋体"/>
          <w:b/>
          <w:bCs/>
          <w:sz w:val="32"/>
          <w:szCs w:val="32"/>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hint="eastAsia" w:ascii="隶书" w:hAnsi="黑体" w:eastAsia="隶书"/>
          <w:sz w:val="52"/>
          <w:szCs w:val="52"/>
          <w:lang w:eastAsia="zh-CN"/>
        </w:rPr>
      </w:pPr>
      <w:bookmarkStart w:id="10" w:name="_GoBack"/>
      <w:bookmarkEnd w:id="10"/>
      <w:r>
        <w:rPr>
          <w:rFonts w:hint="eastAsia" w:ascii="隶书" w:hAnsi="黑体" w:eastAsia="隶书"/>
          <w:sz w:val="52"/>
          <w:szCs w:val="52"/>
        </w:rPr>
        <w:t xml:space="preserve"> </w:t>
      </w:r>
    </w:p>
    <w:p>
      <w:pPr>
        <w:jc w:val="center"/>
        <w:rPr>
          <w:rFonts w:eastAsia="隶书"/>
          <w:b/>
          <w:bCs/>
          <w:sz w:val="30"/>
        </w:rPr>
      </w:pPr>
    </w:p>
    <w:p>
      <w:pPr>
        <w:jc w:val="center"/>
        <w:rPr>
          <w:rFonts w:eastAsia="隶书"/>
          <w:b/>
          <w:bCs/>
          <w:sz w:val="30"/>
        </w:rPr>
      </w:pPr>
    </w:p>
    <w:p>
      <w:pPr>
        <w:rPr>
          <w:rFonts w:eastAsia="隶书"/>
          <w:b/>
          <w:bCs/>
          <w:sz w:val="30"/>
        </w:rPr>
      </w:pPr>
    </w:p>
    <w:p>
      <w:pPr>
        <w:jc w:val="center"/>
        <w:rPr>
          <w:rFonts w:hint="eastAsia" w:eastAsia="隶书"/>
          <w:spacing w:val="-6"/>
          <w:sz w:val="32"/>
          <w:lang w:eastAsia="zh-CN"/>
        </w:rPr>
      </w:pPr>
      <w:r>
        <w:rPr>
          <w:rFonts w:hint="eastAsia" w:eastAsia="隶书"/>
          <w:b/>
          <w:sz w:val="48"/>
        </w:rPr>
        <w:t>湖南省特种设备</w:t>
      </w:r>
      <w:r>
        <w:rPr>
          <w:rFonts w:hint="eastAsia" w:eastAsia="隶书"/>
          <w:b/>
          <w:sz w:val="48"/>
          <w:lang w:val="en-US" w:eastAsia="zh-CN"/>
        </w:rPr>
        <w:t>协会</w:t>
      </w:r>
    </w:p>
    <w:p>
      <w:pPr>
        <w:widowControl/>
        <w:spacing w:line="240" w:lineRule="auto"/>
        <w:jc w:val="left"/>
        <w:rPr>
          <w:rFonts w:ascii="黑体" w:hAnsi="黑体" w:eastAsia="黑体"/>
          <w:b/>
          <w:sz w:val="32"/>
          <w:szCs w:val="32"/>
        </w:rPr>
      </w:pPr>
    </w:p>
    <w:p>
      <w:pPr>
        <w:spacing w:beforeLines="100" w:after="100" w:afterAutospacing="1" w:line="400" w:lineRule="exact"/>
        <w:jc w:val="center"/>
        <w:outlineLvl w:val="0"/>
        <w:rPr>
          <w:rFonts w:hint="eastAsia" w:ascii="黑体" w:hAnsi="黑体" w:eastAsia="黑体"/>
          <w:b/>
          <w:sz w:val="32"/>
          <w:szCs w:val="32"/>
        </w:rPr>
        <w:sectPr>
          <w:headerReference r:id="rId5" w:type="default"/>
          <w:footerReference r:id="rId6" w:type="default"/>
          <w:pgSz w:w="11906" w:h="16838"/>
          <w:pgMar w:top="1304" w:right="1134" w:bottom="1020" w:left="1588" w:header="851" w:footer="992" w:gutter="0"/>
          <w:pgNumType w:fmt="numberInDash" w:start="1"/>
          <w:cols w:space="0" w:num="1"/>
          <w:rtlGutter w:val="0"/>
          <w:docGrid w:type="lines" w:linePitch="312" w:charSpace="0"/>
        </w:sectPr>
      </w:pPr>
      <w:bookmarkStart w:id="0" w:name="OLE_LINK53"/>
      <w:bookmarkStart w:id="1" w:name="OLE_LINK54"/>
    </w:p>
    <w:p>
      <w:pPr>
        <w:spacing w:beforeLines="100" w:after="100" w:afterAutospacing="1" w:line="400" w:lineRule="exact"/>
        <w:jc w:val="center"/>
        <w:outlineLvl w:val="0"/>
        <w:rPr>
          <w:rFonts w:hint="eastAsia" w:ascii="黑体" w:hAnsi="黑体" w:eastAsia="黑体"/>
          <w:b/>
          <w:sz w:val="32"/>
          <w:szCs w:val="32"/>
        </w:rPr>
      </w:pPr>
      <w:r>
        <w:rPr>
          <w:rFonts w:hint="eastAsia" w:ascii="黑体" w:hAnsi="黑体" w:eastAsia="黑体"/>
          <w:b/>
          <w:sz w:val="32"/>
          <w:szCs w:val="32"/>
        </w:rPr>
        <w:t>特种设备</w:t>
      </w:r>
      <w:r>
        <w:rPr>
          <w:rFonts w:hint="eastAsia" w:ascii="黑体" w:hAnsi="黑体" w:eastAsia="黑体"/>
          <w:b/>
          <w:sz w:val="32"/>
          <w:szCs w:val="32"/>
          <w:lang w:val="en-US" w:eastAsia="zh-CN"/>
        </w:rPr>
        <w:t>行政许可现场</w:t>
      </w:r>
      <w:r>
        <w:rPr>
          <w:rFonts w:hint="eastAsia" w:ascii="黑体" w:hAnsi="黑体" w:eastAsia="黑体"/>
          <w:b/>
          <w:sz w:val="32"/>
          <w:szCs w:val="32"/>
        </w:rPr>
        <w:t>鉴定评审</w:t>
      </w:r>
      <w:r>
        <w:rPr>
          <w:rFonts w:hint="eastAsia" w:ascii="黑体" w:hAnsi="黑体" w:eastAsia="黑体"/>
          <w:b/>
          <w:sz w:val="32"/>
          <w:szCs w:val="32"/>
          <w:lang w:val="en-US" w:eastAsia="zh-CN"/>
        </w:rPr>
        <w:t>专用</w:t>
      </w:r>
      <w:r>
        <w:rPr>
          <w:rFonts w:hint="eastAsia" w:ascii="黑体" w:hAnsi="黑体" w:eastAsia="黑体"/>
          <w:b/>
          <w:sz w:val="32"/>
          <w:szCs w:val="32"/>
        </w:rPr>
        <w:t>指南</w:t>
      </w:r>
    </w:p>
    <w:p>
      <w:pPr>
        <w:spacing w:beforeLines="100" w:after="100" w:afterAutospacing="1" w:line="400" w:lineRule="exact"/>
        <w:jc w:val="center"/>
        <w:outlineLvl w:val="0"/>
        <w:rPr>
          <w:rFonts w:hint="default" w:ascii="黑体" w:hAnsi="黑体" w:eastAsia="黑体"/>
          <w:b/>
          <w:sz w:val="32"/>
          <w:szCs w:val="32"/>
          <w:lang w:val="en-US" w:eastAsia="zh-CN"/>
        </w:rPr>
      </w:pPr>
      <w:r>
        <w:rPr>
          <w:rFonts w:hint="eastAsia" w:ascii="黑体" w:hAnsi="黑体" w:eastAsia="黑体"/>
          <w:b/>
          <w:sz w:val="32"/>
          <w:szCs w:val="32"/>
          <w:lang w:val="en-US" w:eastAsia="zh-CN"/>
        </w:rPr>
        <w:t>第5部分  压力容器制造单位</w:t>
      </w:r>
    </w:p>
    <w:bookmarkEnd w:id="0"/>
    <w:bookmarkEnd w:id="1"/>
    <w:p>
      <w:pPr>
        <w:spacing w:line="480" w:lineRule="auto"/>
        <w:outlineLvl w:val="0"/>
        <w:rPr>
          <w:rFonts w:ascii="宋体" w:hAnsi="宋体" w:cs="黑体"/>
          <w:b/>
          <w:sz w:val="24"/>
        </w:rPr>
      </w:pPr>
      <w:bookmarkStart w:id="2" w:name="OLE_LINK125"/>
      <w:bookmarkStart w:id="3" w:name="OLE_LINK124"/>
      <w:r>
        <w:rPr>
          <w:rFonts w:hint="eastAsia" w:ascii="宋体" w:hAnsi="宋体" w:cs="黑体"/>
          <w:b/>
          <w:sz w:val="24"/>
        </w:rPr>
        <w:t>1  范围</w:t>
      </w:r>
    </w:p>
    <w:bookmarkEnd w:id="2"/>
    <w:bookmarkEnd w:id="3"/>
    <w:p>
      <w:pPr>
        <w:spacing w:line="360" w:lineRule="auto"/>
        <w:ind w:firstLine="480" w:firstLineChars="200"/>
        <w:rPr>
          <w:rFonts w:hint="default" w:ascii="宋体" w:hAnsi="宋体" w:eastAsia="宋体"/>
          <w:sz w:val="24"/>
          <w:lang w:val="en-US" w:eastAsia="zh-CN"/>
        </w:rPr>
      </w:pPr>
      <w:r>
        <w:rPr>
          <w:rFonts w:hint="eastAsia" w:ascii="宋体" w:hAnsi="宋体"/>
          <w:sz w:val="24"/>
        </w:rPr>
        <w:t>本部分为</w:t>
      </w:r>
      <w:r>
        <w:rPr>
          <w:rFonts w:hint="eastAsia" w:ascii="宋体" w:hAnsi="宋体"/>
          <w:sz w:val="24"/>
          <w:lang w:eastAsia="zh-CN"/>
        </w:rPr>
        <w:t>特种设备行政许可现场鉴定评审指南</w:t>
      </w:r>
      <w:r>
        <w:rPr>
          <w:rFonts w:hint="eastAsia" w:ascii="宋体" w:hAnsi="宋体"/>
          <w:sz w:val="24"/>
        </w:rPr>
        <w:t>第</w:t>
      </w:r>
      <w:r>
        <w:rPr>
          <w:rFonts w:hint="eastAsia" w:ascii="宋体" w:hAnsi="宋体"/>
          <w:sz w:val="24"/>
          <w:lang w:val="en-US" w:eastAsia="zh-CN"/>
        </w:rPr>
        <w:t>5</w:t>
      </w:r>
      <w:r>
        <w:rPr>
          <w:rFonts w:hint="eastAsia" w:ascii="宋体" w:hAnsi="宋体"/>
          <w:sz w:val="24"/>
        </w:rPr>
        <w:t xml:space="preserve">部分 </w:t>
      </w:r>
      <w:r>
        <w:rPr>
          <w:rFonts w:hint="eastAsia" w:ascii="宋体" w:hAnsi="宋体"/>
          <w:sz w:val="24"/>
          <w:lang w:val="en-US" w:eastAsia="zh-CN"/>
        </w:rPr>
        <w:t>专</w:t>
      </w:r>
      <w:r>
        <w:rPr>
          <w:rFonts w:hint="eastAsia" w:ascii="宋体" w:hAnsi="宋体"/>
          <w:sz w:val="24"/>
        </w:rPr>
        <w:t>用指南</w:t>
      </w:r>
      <w:r>
        <w:rPr>
          <w:rFonts w:hint="eastAsia" w:ascii="宋体" w:hAnsi="宋体"/>
          <w:sz w:val="24"/>
          <w:lang w:val="en-US" w:eastAsia="zh-CN"/>
        </w:rPr>
        <w:t xml:space="preserve"> 压力容器制造单位。</w:t>
      </w:r>
    </w:p>
    <w:p>
      <w:pPr>
        <w:spacing w:line="360" w:lineRule="auto"/>
        <w:ind w:firstLine="480" w:firstLineChars="200"/>
        <w:rPr>
          <w:rFonts w:ascii="宋体" w:hAnsi="宋体"/>
          <w:sz w:val="24"/>
        </w:rPr>
      </w:pPr>
      <w:r>
        <w:rPr>
          <w:rFonts w:hint="eastAsia" w:ascii="宋体" w:hAnsi="宋体"/>
          <w:sz w:val="24"/>
        </w:rPr>
        <w:t>本部分规定了</w:t>
      </w:r>
      <w:bookmarkStart w:id="4" w:name="OLE_LINK36"/>
      <w:bookmarkStart w:id="5" w:name="OLE_LINK35"/>
      <w:r>
        <w:rPr>
          <w:rFonts w:hint="eastAsia" w:ascii="宋体" w:hAnsi="宋体"/>
          <w:sz w:val="24"/>
          <w:lang w:val="en-US" w:eastAsia="zh-CN"/>
        </w:rPr>
        <w:t>压力容器制造单位（含安装、修理、改造，</w:t>
      </w:r>
      <w:r>
        <w:rPr>
          <w:rFonts w:hint="eastAsia" w:ascii="宋体" w:hAnsi="宋体"/>
          <w:color w:val="auto"/>
          <w:sz w:val="24"/>
          <w:lang w:val="en-US" w:eastAsia="zh-CN"/>
        </w:rPr>
        <w:t>下同）鉴定</w:t>
      </w:r>
      <w:r>
        <w:rPr>
          <w:rFonts w:hint="eastAsia" w:ascii="宋体" w:hAnsi="宋体"/>
          <w:color w:val="auto"/>
          <w:sz w:val="24"/>
        </w:rPr>
        <w:t>评审</w:t>
      </w:r>
      <w:r>
        <w:rPr>
          <w:rFonts w:hint="eastAsia" w:ascii="宋体" w:hAnsi="宋体"/>
          <w:color w:val="auto"/>
          <w:sz w:val="24"/>
          <w:lang w:val="en-US" w:eastAsia="zh-CN"/>
        </w:rPr>
        <w:t>的资源条件、应准备的文件和材料、应配备的法规和标准、质量保证体系</w:t>
      </w:r>
      <w:r>
        <w:rPr>
          <w:rFonts w:hint="eastAsia" w:ascii="宋体" w:hAnsi="宋体"/>
          <w:color w:val="auto"/>
          <w:sz w:val="24"/>
        </w:rPr>
        <w:t>等方面的</w:t>
      </w:r>
      <w:r>
        <w:rPr>
          <w:rFonts w:hint="eastAsia" w:ascii="宋体" w:hAnsi="宋体"/>
          <w:sz w:val="24"/>
        </w:rPr>
        <w:t>基本要求。</w:t>
      </w:r>
    </w:p>
    <w:bookmarkEnd w:id="4"/>
    <w:bookmarkEnd w:id="5"/>
    <w:p>
      <w:pPr>
        <w:spacing w:line="480" w:lineRule="auto"/>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2.1  特种设备安全法</w:t>
      </w:r>
    </w:p>
    <w:p>
      <w:pPr>
        <w:spacing w:line="360" w:lineRule="auto"/>
        <w:ind w:firstLine="480" w:firstLineChars="200"/>
        <w:rPr>
          <w:rFonts w:ascii="宋体" w:hAnsi="宋体"/>
          <w:sz w:val="24"/>
        </w:rPr>
      </w:pPr>
      <w:r>
        <w:rPr>
          <w:rFonts w:hint="eastAsia" w:ascii="宋体" w:hAnsi="宋体"/>
          <w:sz w:val="24"/>
        </w:rPr>
        <w:t>2.2  特种设备安全监察条例</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4"/>
      <w:bookmarkStart w:id="7" w:name="OLE_LINK115"/>
      <w:r>
        <w:rPr>
          <w:rFonts w:hint="eastAsia" w:ascii="宋体" w:hAnsi="宋体"/>
          <w:sz w:val="24"/>
        </w:rPr>
        <w:t xml:space="preserve"> </w:t>
      </w:r>
      <w:bookmarkEnd w:id="6"/>
      <w:bookmarkEnd w:id="7"/>
      <w:r>
        <w:rPr>
          <w:rFonts w:hint="eastAsia" w:ascii="宋体" w:hAnsi="宋体"/>
          <w:sz w:val="24"/>
        </w:rPr>
        <w:t>TSG 07-2019《</w:t>
      </w:r>
      <w:bookmarkStart w:id="8" w:name="OLE_LINK119"/>
      <w:r>
        <w:rPr>
          <w:rFonts w:hint="eastAsia" w:ascii="宋体" w:hAnsi="宋体"/>
          <w:sz w:val="24"/>
        </w:rPr>
        <w:t>特种设备生产和充装单位许可</w:t>
      </w:r>
      <w:bookmarkEnd w:id="8"/>
      <w:r>
        <w:rPr>
          <w:rFonts w:hint="eastAsia" w:ascii="宋体" w:hAnsi="宋体"/>
          <w:sz w:val="24"/>
        </w:rPr>
        <w:t>规则》</w:t>
      </w:r>
    </w:p>
    <w:p>
      <w:pPr>
        <w:spacing w:line="360" w:lineRule="auto"/>
        <w:ind w:firstLine="480" w:firstLineChars="200"/>
        <w:rPr>
          <w:rFonts w:hint="eastAsia" w:ascii="宋体" w:hAnsi="宋体"/>
          <w:sz w:val="24"/>
          <w:lang w:val="en-US" w:eastAsia="zh-CN"/>
        </w:rPr>
      </w:pPr>
      <w:r>
        <w:rPr>
          <w:rFonts w:hint="eastAsia" w:ascii="宋体" w:hAnsi="宋体"/>
          <w:sz w:val="24"/>
        </w:rPr>
        <w:t xml:space="preserve">2.4  </w:t>
      </w:r>
      <w:r>
        <w:rPr>
          <w:rFonts w:hint="eastAsia" w:ascii="宋体" w:hAnsi="宋体"/>
          <w:sz w:val="24"/>
          <w:lang w:val="en-US" w:eastAsia="zh-CN"/>
        </w:rPr>
        <w:t>XTXPS/ZN-JXC-2022 特种设备行政许可现场鉴定评审指南 第1部分 通用指南 基本程序和要求</w:t>
      </w:r>
    </w:p>
    <w:p>
      <w:pPr>
        <w:spacing w:line="360" w:lineRule="auto"/>
        <w:ind w:firstLine="480" w:firstLineChars="200"/>
        <w:rPr>
          <w:rFonts w:ascii="宋体" w:hAnsi="宋体"/>
          <w:sz w:val="24"/>
        </w:rPr>
      </w:pPr>
      <w:r>
        <w:rPr>
          <w:rFonts w:hint="eastAsia" w:ascii="宋体" w:hAnsi="宋体"/>
          <w:sz w:val="24"/>
          <w:lang w:val="en-US" w:eastAsia="zh-CN"/>
        </w:rPr>
        <w:t xml:space="preserve">2.5  </w:t>
      </w:r>
      <w:r>
        <w:rPr>
          <w:rFonts w:hint="eastAsia" w:ascii="宋体" w:hAnsi="宋体"/>
          <w:sz w:val="24"/>
        </w:rPr>
        <w:t>其他相关特种设备安全技术规范和标准</w:t>
      </w:r>
    </w:p>
    <w:p>
      <w:pPr>
        <w:spacing w:line="480" w:lineRule="auto"/>
        <w:outlineLvl w:val="0"/>
        <w:rPr>
          <w:rFonts w:ascii="宋体" w:hAnsi="宋体" w:cs="黑体"/>
          <w:b/>
          <w:sz w:val="24"/>
        </w:rPr>
      </w:pPr>
      <w:r>
        <w:rPr>
          <w:rFonts w:hint="eastAsia" w:ascii="宋体" w:hAnsi="宋体" w:cs="黑体"/>
          <w:b/>
          <w:sz w:val="24"/>
        </w:rPr>
        <w:t xml:space="preserve">3  术语 </w:t>
      </w:r>
    </w:p>
    <w:p>
      <w:pPr>
        <w:spacing w:line="360" w:lineRule="auto"/>
        <w:ind w:firstLine="480" w:firstLineChars="200"/>
        <w:rPr>
          <w:rFonts w:ascii="宋体" w:hAnsi="宋体"/>
          <w:sz w:val="24"/>
        </w:rPr>
      </w:pPr>
      <w:r>
        <w:rPr>
          <w:rFonts w:hint="eastAsia" w:ascii="宋体" w:hAnsi="宋体"/>
          <w:sz w:val="24"/>
        </w:rPr>
        <w:t>本指南采用上述引用文件中界定的术语和定义。</w:t>
      </w:r>
    </w:p>
    <w:p>
      <w:pPr>
        <w:spacing w:line="480" w:lineRule="auto"/>
        <w:outlineLvl w:val="0"/>
        <w:rPr>
          <w:rFonts w:hint="eastAsia" w:ascii="宋体" w:hAnsi="宋体" w:cs="黑体"/>
          <w:b/>
          <w:sz w:val="24"/>
        </w:rPr>
      </w:pPr>
      <w:bookmarkStart w:id="9" w:name="_Toc133889580"/>
      <w:r>
        <w:rPr>
          <w:rFonts w:hint="eastAsia" w:ascii="宋体" w:hAnsi="宋体" w:cs="黑体"/>
          <w:b/>
          <w:sz w:val="24"/>
          <w:lang w:val="en-US" w:eastAsia="zh-CN"/>
        </w:rPr>
        <w:t xml:space="preserve">4  </w:t>
      </w:r>
      <w:r>
        <w:rPr>
          <w:rFonts w:hint="eastAsia" w:ascii="宋体" w:hAnsi="宋体" w:cs="黑体"/>
          <w:b/>
          <w:sz w:val="24"/>
        </w:rPr>
        <w:t>资源条件</w:t>
      </w:r>
      <w:bookmarkEnd w:id="9"/>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rPr>
        <w:t xml:space="preserve">.1 </w:t>
      </w:r>
      <w:r>
        <w:rPr>
          <w:rFonts w:hint="eastAsia" w:ascii="宋体" w:hAnsi="宋体" w:eastAsia="宋体" w:cs="宋体"/>
          <w:sz w:val="24"/>
          <w:szCs w:val="24"/>
        </w:rPr>
        <w:t>申请单位的资源条件应当满足TSG 07-2019《特种设备生产和充装单位许可规则》要求。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4.</w:t>
      </w:r>
      <w:r>
        <w:rPr>
          <w:rFonts w:hint="eastAsia" w:ascii="宋体" w:hAnsi="宋体" w:eastAsia="宋体" w:cs="宋体"/>
          <w:b/>
          <w:sz w:val="24"/>
          <w:szCs w:val="24"/>
        </w:rPr>
        <w:t>2 应当准备的资料</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4.</w:t>
      </w:r>
      <w:r>
        <w:rPr>
          <w:rFonts w:hint="eastAsia" w:ascii="宋体" w:hAnsi="宋体" w:eastAsia="宋体" w:cs="宋体"/>
          <w:b/>
          <w:sz w:val="24"/>
          <w:szCs w:val="24"/>
        </w:rPr>
        <w:t>2.1法律地位及生产责任范围方面</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——法律地位的证明文件（营业执照原件）。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——单位负责人任命或者聘用文件。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——对于许可证变更与延续，还应当准备现有的许可证书、变更申请或延期申请的批复。</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4.</w:t>
      </w:r>
      <w:r>
        <w:rPr>
          <w:rFonts w:hint="eastAsia" w:ascii="宋体" w:hAnsi="宋体" w:eastAsia="宋体" w:cs="宋体"/>
          <w:b/>
          <w:sz w:val="24"/>
          <w:szCs w:val="24"/>
        </w:rPr>
        <w:t>2.2机构规模方面</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eastAsia="zh-CN"/>
        </w:rPr>
        <w:t>4.</w:t>
      </w:r>
      <w:r>
        <w:rPr>
          <w:rFonts w:hint="eastAsia" w:ascii="宋体" w:hAnsi="宋体" w:eastAsia="宋体" w:cs="宋体"/>
          <w:b/>
          <w:bCs/>
          <w:sz w:val="24"/>
          <w:szCs w:val="24"/>
        </w:rPr>
        <w:t>2.2.1质量保证体系人员任命</w:t>
      </w:r>
      <w:r>
        <w:rPr>
          <w:rFonts w:hint="eastAsia" w:ascii="宋体" w:hAnsi="宋体" w:eastAsia="宋体" w:cs="宋体"/>
          <w:b/>
          <w:bCs/>
          <w:sz w:val="24"/>
          <w:szCs w:val="24"/>
          <w:lang w:eastAsia="zh-CN"/>
        </w:rPr>
        <w:t>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制造单位应当根据产品制造过程的需要，配备并且任命质量保证工程师以及设计、材料、工艺、焊接、热处理、无损检测、理化检验、检验与试验等过程的质量控制系统责任人员。质量控制系统责任人员应当具有不低于表1所列理工类相关专业的学历与工程类技术职称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质量保证体系人员任职要求如下：</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质量保证工程师，具有</w:t>
      </w:r>
      <w:r>
        <w:rPr>
          <w:rFonts w:hint="eastAsia" w:ascii="宋体" w:hAnsi="宋体" w:eastAsia="宋体" w:cs="宋体"/>
          <w:sz w:val="24"/>
          <w:szCs w:val="24"/>
          <w:lang w:eastAsia="zh-CN"/>
        </w:rPr>
        <w:t>压力容器</w:t>
      </w:r>
      <w:r>
        <w:rPr>
          <w:rFonts w:hint="eastAsia" w:ascii="宋体" w:hAnsi="宋体" w:eastAsia="宋体" w:cs="宋体"/>
          <w:sz w:val="24"/>
          <w:szCs w:val="24"/>
        </w:rPr>
        <w:t>制造质量管理或者检验工作经历；</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检验与试验质量控制系统责任人员，具有</w:t>
      </w:r>
      <w:r>
        <w:rPr>
          <w:rFonts w:hint="eastAsia" w:ascii="宋体" w:hAnsi="宋体" w:eastAsia="宋体" w:cs="宋体"/>
          <w:sz w:val="24"/>
          <w:szCs w:val="24"/>
          <w:lang w:eastAsia="zh-CN"/>
        </w:rPr>
        <w:t>压力容器</w:t>
      </w:r>
      <w:r>
        <w:rPr>
          <w:rFonts w:hint="eastAsia" w:ascii="宋体" w:hAnsi="宋体" w:eastAsia="宋体" w:cs="宋体"/>
          <w:sz w:val="24"/>
          <w:szCs w:val="24"/>
        </w:rPr>
        <w:t>产品检验工作经历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)设计质量控制系统责任人员，具</w:t>
      </w:r>
      <w:r>
        <w:rPr>
          <w:rFonts w:hint="eastAsia" w:ascii="宋体" w:hAnsi="宋体" w:eastAsia="宋体" w:cs="宋体"/>
          <w:sz w:val="24"/>
          <w:szCs w:val="24"/>
          <w:lang w:val="en-US" w:eastAsia="zh-CN"/>
        </w:rPr>
        <w:t>有压力容器设计工作经历和过程装备制造(化工机械)、机械制造、机械设计等机械类专业教育背景；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)焊接质量控制系统责任人员，具有焊接</w:t>
      </w:r>
      <w:r>
        <w:rPr>
          <w:rFonts w:hint="eastAsia" w:ascii="宋体" w:hAnsi="宋体" w:eastAsia="宋体" w:cs="宋体"/>
          <w:sz w:val="24"/>
          <w:szCs w:val="24"/>
          <w:lang w:eastAsia="zh-CN"/>
        </w:rPr>
        <w:t>相关</w:t>
      </w:r>
      <w:r>
        <w:rPr>
          <w:rFonts w:hint="eastAsia" w:ascii="宋体" w:hAnsi="宋体" w:eastAsia="宋体" w:cs="宋体"/>
          <w:sz w:val="24"/>
          <w:szCs w:val="24"/>
        </w:rPr>
        <w:t>工作经历和焊接或者焊接相关专业(材料、机械类专业)教育背景；</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其他质量控制系统责任人员，具有所负责工作的经历；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质量控制系统责任人员，应当熟悉任职岗位的工作任务和要求，通过岗位培训，能够履行岗位职责。</w:t>
      </w:r>
    </w:p>
    <w:p>
      <w:pPr>
        <w:keepNext w:val="0"/>
        <w:keepLines w:val="0"/>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1 质量保证体系人员的任职要求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2045"/>
        <w:gridCol w:w="20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质量保证体系人员</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A2</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A3</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质量保证工程师</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本科且工程师</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本科且工程师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设计质量控制系统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本科且工程师</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本科且工程师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材料质量控制系统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工程师</w:t>
            </w:r>
          </w:p>
        </w:tc>
        <w:tc>
          <w:tcPr>
            <w:tcW w:w="2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工艺质量控制系统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本科且工程师</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本科且工程师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焊接质量控制系统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本科且工程师</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本科且工程师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热处理质量控制系统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无损检测质量控制系统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理化检验质量控制系统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责任人员</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检验与试验质量控制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系统责任人员</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工程师</w:t>
            </w:r>
          </w:p>
        </w:tc>
        <w:tc>
          <w:tcPr>
            <w:tcW w:w="204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工程师</w:t>
            </w:r>
          </w:p>
        </w:tc>
        <w:tc>
          <w:tcPr>
            <w:tcW w:w="2046"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助工</w:t>
            </w:r>
          </w:p>
        </w:tc>
      </w:tr>
    </w:tbl>
    <w:p>
      <w:pPr>
        <w:keepNext w:val="0"/>
        <w:keepLines w:val="0"/>
        <w:pageBreakBefore w:val="0"/>
        <w:widowControl/>
        <w:suppressLineNumbers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注1：表</w:t>
      </w: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1中产品制造过程无焊接、热处理、无损检测等过程时，不需要配备相应的质量控制系统责任人员。</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sz w:val="24"/>
          <w:szCs w:val="24"/>
        </w:rPr>
      </w:pPr>
      <w:r>
        <w:rPr>
          <w:rFonts w:hint="eastAsia" w:ascii="宋体" w:hAnsi="宋体" w:cs="宋体"/>
          <w:b/>
          <w:bCs w:val="0"/>
          <w:sz w:val="24"/>
          <w:szCs w:val="24"/>
          <w:lang w:eastAsia="zh-CN"/>
        </w:rPr>
        <w:t>4.</w:t>
      </w:r>
      <w:r>
        <w:rPr>
          <w:rFonts w:hint="eastAsia" w:ascii="宋体" w:hAnsi="宋体" w:eastAsia="宋体" w:cs="宋体"/>
          <w:b/>
          <w:bCs w:val="0"/>
          <w:sz w:val="24"/>
          <w:szCs w:val="24"/>
        </w:rPr>
        <w:t>2.2.2 技术人员名单</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制造单位应当配备产品制造所需要的技术人员，</w:t>
      </w:r>
      <w:r>
        <w:rPr>
          <w:rFonts w:hint="eastAsia" w:ascii="宋体" w:hAnsi="宋体" w:eastAsia="宋体" w:cs="宋体"/>
          <w:color w:val="000000"/>
          <w:kern w:val="0"/>
          <w:sz w:val="24"/>
          <w:szCs w:val="24"/>
          <w:lang w:val="en-US" w:eastAsia="zh-CN" w:bidi="ar"/>
        </w:rPr>
        <w:t>多层压力容器</w:t>
      </w:r>
      <w:r>
        <w:rPr>
          <w:rFonts w:hint="eastAsia" w:ascii="宋体" w:hAnsi="宋体" w:eastAsia="宋体" w:cs="宋体"/>
          <w:sz w:val="24"/>
          <w:szCs w:val="24"/>
          <w:lang w:val="en-US" w:eastAsia="zh-CN"/>
        </w:rPr>
        <w:t>制造单位</w:t>
      </w:r>
      <w:r>
        <w:rPr>
          <w:rFonts w:hint="eastAsia" w:ascii="宋体" w:hAnsi="宋体" w:eastAsia="宋体" w:cs="宋体"/>
          <w:color w:val="000000"/>
          <w:kern w:val="0"/>
          <w:sz w:val="24"/>
          <w:szCs w:val="24"/>
          <w:lang w:val="en-US" w:eastAsia="zh-CN" w:bidi="ar"/>
        </w:rPr>
        <w:t>配备热套、包扎或者缠绕专业技术人员，作业人员应当经过专门培训。</w:t>
      </w:r>
      <w:r>
        <w:rPr>
          <w:rFonts w:hint="eastAsia" w:ascii="宋体" w:hAnsi="宋体" w:eastAsia="宋体" w:cs="宋体"/>
          <w:sz w:val="24"/>
          <w:szCs w:val="24"/>
          <w:lang w:val="en-US" w:eastAsia="zh-CN"/>
        </w:rPr>
        <w:t>制造单位同时设计本单位制造的压力容器的，应当具备TSG 07-2019附件 C1.2 条规定的人员条件要求，并且专职设计人员总数一般不少于 5 人，其中审批人员不少于 2 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各级别制造单位技术人员数量见表</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2 的要求</w:t>
      </w:r>
    </w:p>
    <w:p>
      <w:pPr>
        <w:keepNext w:val="0"/>
        <w:keepLines w:val="0"/>
        <w:pageBreakBefore w:val="0"/>
        <w:kinsoku/>
        <w:wordWrap/>
        <w:overflowPunct/>
        <w:topLinePunct w:val="0"/>
        <w:autoSpaceDE/>
        <w:autoSpaceDN/>
        <w:bidi w:val="0"/>
        <w:adjustRightInd w:val="0"/>
        <w:snapToGrid w:val="0"/>
        <w:spacing w:line="360" w:lineRule="auto"/>
        <w:ind w:right="-680"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技术人员数量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232"/>
        <w:gridCol w:w="2232"/>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223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许可级别</w:t>
            </w:r>
          </w:p>
        </w:tc>
        <w:tc>
          <w:tcPr>
            <w:tcW w:w="223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机械</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相关专业(人)</w:t>
            </w:r>
          </w:p>
        </w:tc>
        <w:tc>
          <w:tcPr>
            <w:tcW w:w="223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焊接</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相关专业(人)</w:t>
            </w:r>
          </w:p>
        </w:tc>
        <w:tc>
          <w:tcPr>
            <w:tcW w:w="2234"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技术人员</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3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A2、A3</w:t>
            </w:r>
          </w:p>
        </w:tc>
        <w:tc>
          <w:tcPr>
            <w:tcW w:w="2232"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32"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234"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32"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tc>
        <w:tc>
          <w:tcPr>
            <w:tcW w:w="2232"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32"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34" w:type="dxa"/>
            <w:noWrap w:val="0"/>
            <w:vAlign w:val="center"/>
          </w:tcPr>
          <w:p>
            <w:pPr>
              <w:keepNext w:val="0"/>
              <w:keepLines w:val="0"/>
              <w:pageBreakBefore w:val="0"/>
              <w:tabs>
                <w:tab w:val="left" w:pos="36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bl>
    <w:p>
      <w:pPr>
        <w:pStyle w:val="12"/>
        <w:keepNext w:val="0"/>
        <w:keepLines w:val="0"/>
        <w:pageBreakBefore w:val="0"/>
        <w:pBdr>
          <w:bottom w:val="none" w:color="auto" w:sz="0" w:space="0"/>
        </w:pBdr>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cs="宋体"/>
          <w:b/>
          <w:sz w:val="24"/>
          <w:szCs w:val="24"/>
          <w:lang w:eastAsia="zh-CN"/>
        </w:rPr>
        <w:t>4.</w:t>
      </w:r>
      <w:r>
        <w:rPr>
          <w:rFonts w:hint="eastAsia" w:ascii="宋体" w:hAnsi="宋体" w:eastAsia="宋体" w:cs="宋体"/>
          <w:b/>
          <w:sz w:val="24"/>
          <w:szCs w:val="24"/>
        </w:rPr>
        <w:t>2.2.3焊接作业人员一览表</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采用焊接方法的压力容器制造单位，应当配备产品制造需要并且具备相应资格的持证焊工，焊工的持证项目应当满足产品制造需要。持证焊工人数的要求见表</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3要求。采用焊接机器人的，相应许可级别的持证焊工人数可减少 1 人</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表</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3 </w:t>
      </w:r>
      <w:r>
        <w:rPr>
          <w:rFonts w:hint="eastAsia" w:ascii="宋体" w:hAnsi="宋体" w:eastAsia="宋体" w:cs="宋体"/>
          <w:color w:val="000000"/>
          <w:kern w:val="0"/>
          <w:sz w:val="24"/>
          <w:szCs w:val="24"/>
          <w:lang w:val="en-US" w:eastAsia="zh-CN" w:bidi="ar"/>
        </w:rPr>
        <w:t>持证焊工人数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52"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许可级别</w:t>
            </w:r>
          </w:p>
        </w:tc>
        <w:tc>
          <w:tcPr>
            <w:tcW w:w="7636"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持证焊工(人)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A2</w:t>
            </w:r>
          </w:p>
        </w:tc>
        <w:tc>
          <w:tcPr>
            <w:tcW w:w="7636"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A3</w:t>
            </w:r>
          </w:p>
        </w:tc>
        <w:tc>
          <w:tcPr>
            <w:tcW w:w="7636"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1"/>
                <w:szCs w:val="21"/>
                <w:lang w:val="en-US" w:eastAsia="zh-CN" w:bidi="ar"/>
              </w:rPr>
              <w:t>同时具有板材对接焊缝平、立、横、仰位置焊合格项目的焊工不少于 8 人。同时具有管板角焊缝立、横、仰位置焊合格项目的焊工不少于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w:t>
            </w:r>
          </w:p>
        </w:tc>
        <w:tc>
          <w:tcPr>
            <w:tcW w:w="7636"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bl>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2.2.4无损检测人员一览表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(1)由本单位进行无损检测的，无损检测人员持证项目和数量应当符合表</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4的要求；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(2)采用衍射时差法超声检测(TOFD)的制造单位，应当配备 TOFDⅡ级人员不少</w:t>
      </w:r>
      <w:r>
        <w:rPr>
          <w:rFonts w:hint="eastAsia" w:ascii="宋体" w:hAnsi="宋体" w:eastAsia="宋体" w:cs="宋体"/>
          <w:sz w:val="24"/>
          <w:szCs w:val="24"/>
          <w:lang w:val="en-US" w:eastAsia="zh-CN"/>
        </w:rPr>
        <w:t>于 2 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无损检测人员持证项目和数量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835"/>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restart"/>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许可级别</w:t>
            </w:r>
          </w:p>
        </w:tc>
        <w:tc>
          <w:tcPr>
            <w:tcW w:w="2835" w:type="dxa"/>
            <w:vMerge w:val="restart"/>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无损检测质量控制系统责任人员（注</w:t>
            </w:r>
            <w:r>
              <w:rPr>
                <w:rFonts w:hint="eastAsia" w:ascii="宋体" w:hAnsi="宋体" w:eastAsia="宋体" w:cs="宋体"/>
                <w:sz w:val="21"/>
                <w:szCs w:val="21"/>
                <w:lang w:val="en-US" w:eastAsia="zh-CN"/>
              </w:rPr>
              <w:t>2</w:t>
            </w:r>
            <w:r>
              <w:rPr>
                <w:rFonts w:hint="eastAsia" w:ascii="宋体" w:hAnsi="宋体" w:eastAsia="宋体" w:cs="宋体"/>
                <w:sz w:val="21"/>
                <w:szCs w:val="21"/>
              </w:rPr>
              <w:t>）</w:t>
            </w:r>
          </w:p>
        </w:tc>
        <w:tc>
          <w:tcPr>
            <w:tcW w:w="4644" w:type="dxa"/>
            <w:gridSpan w:val="2"/>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无损检测人员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持证项目</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数量（人）（注</w:t>
            </w:r>
            <w:r>
              <w:rPr>
                <w:rFonts w:hint="eastAsia" w:ascii="宋体" w:hAnsi="宋体" w:eastAsia="宋体" w:cs="宋体"/>
                <w:sz w:val="21"/>
                <w:szCs w:val="21"/>
                <w:lang w:val="en-US" w:eastAsia="zh-CN"/>
              </w:rPr>
              <w:t>3</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restart"/>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A2、A3</w:t>
            </w:r>
          </w:p>
        </w:tc>
        <w:tc>
          <w:tcPr>
            <w:tcW w:w="2835" w:type="dxa"/>
            <w:vMerge w:val="restar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RTⅡ和UTⅡ资格</w:t>
            </w:r>
            <w:r>
              <w:rPr>
                <w:rFonts w:hint="eastAsia" w:ascii="宋体" w:hAnsi="宋体" w:eastAsia="宋体" w:cs="宋体"/>
                <w:color w:val="000000"/>
                <w:kern w:val="0"/>
                <w:sz w:val="21"/>
                <w:szCs w:val="21"/>
                <w:lang w:val="en-US" w:eastAsia="zh-CN" w:bidi="ar"/>
              </w:rPr>
              <w:t>且,具有 4 年以上无损检测经历</w:t>
            </w:r>
          </w:p>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RT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UT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MT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PT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restart"/>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2835" w:type="dxa"/>
            <w:vMerge w:val="restart"/>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RTⅡ</w:t>
            </w:r>
            <w:r>
              <w:rPr>
                <w:rFonts w:hint="eastAsia" w:ascii="宋体" w:hAnsi="宋体" w:eastAsia="宋体" w:cs="宋体"/>
                <w:sz w:val="21"/>
                <w:szCs w:val="21"/>
                <w:lang w:eastAsia="zh-CN"/>
              </w:rPr>
              <w:t>或</w:t>
            </w:r>
            <w:r>
              <w:rPr>
                <w:rFonts w:hint="eastAsia" w:ascii="宋体" w:hAnsi="宋体" w:eastAsia="宋体" w:cs="宋体"/>
                <w:sz w:val="21"/>
                <w:szCs w:val="21"/>
              </w:rPr>
              <w:t>UTⅡ资格</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RT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UT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MT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835" w:type="dxa"/>
            <w:vMerge w:val="continue"/>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rPr>
            </w:pP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PT </w:t>
            </w:r>
            <w:r>
              <w:rPr>
                <w:rFonts w:hint="eastAsia" w:ascii="宋体" w:hAnsi="宋体" w:eastAsia="宋体" w:cs="宋体"/>
                <w:sz w:val="21"/>
                <w:szCs w:val="21"/>
              </w:rPr>
              <w:t>Ⅱ</w:t>
            </w:r>
          </w:p>
        </w:tc>
        <w:tc>
          <w:tcPr>
            <w:tcW w:w="2322"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bl>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：无损检测外委的，制造单位只需按照表</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的要求配备无损检测质量控制系统责任人员。</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：无损检测质量控制系统责任人员计入无损检测人员数量中。</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3应当具备的条件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3.1 工作场所</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(1)具有相应级别产品制造需要的生产场地；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(2)产品承压部件的焊接必须保证在室内作业完成；大型承压部件在室外焊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接</w:t>
      </w:r>
      <w:r>
        <w:rPr>
          <w:rFonts w:hint="eastAsia" w:ascii="宋体" w:hAnsi="宋体" w:eastAsia="宋体" w:cs="宋体"/>
          <w:color w:val="000000"/>
          <w:kern w:val="0"/>
          <w:sz w:val="24"/>
          <w:szCs w:val="24"/>
          <w:lang w:val="en-US" w:eastAsia="zh-CN" w:bidi="ar"/>
        </w:rPr>
        <w:t>时，有必要的保证焊接质量的防护措施；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(3)具有原材料和焊接材料存放要求的库房或者专用场地，具有有效的防护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措施；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(4)具有与所制造产品相适应的耐压试验、泄漏试验和其他相关试验的专用场地及防护措施，并且符合有关安全技术规范及相关标准的要求；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(5)具有满足防护要求、空间适应产品检测需要的射线曝光室或者检测专用场地，并且具有保证底片冲洗质量和底片保存的专用场所，具有无损检测仪器和器材存放要求的场所。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制造单位同时具有压力容器设计能力的，应当具有专门的设计工作机构和场所。</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3.2生产设备与工艺装备</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制造单位应当具有产品制造需要的切割设备、成形设备、机加工设备、焊接设备、焊接材料烘干和保温设备、起重设备、表面处理设备等，以及必要的工装；具有与产品制造工艺相适应的热处理炉，并且配有自动记录温度曲线的测温仪表。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制造单位同时具有压力容器设计能力的，应当具有满足TSG 07-2019附件 C1.1 条规定的设计装备和设计手段。 </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不锈钢、有色金属压力容器制造单位</w:t>
      </w:r>
      <w:r>
        <w:rPr>
          <w:rFonts w:hint="eastAsia" w:ascii="宋体" w:hAnsi="宋体" w:eastAsia="宋体" w:cs="宋体"/>
          <w:color w:val="000000"/>
          <w:kern w:val="0"/>
          <w:sz w:val="24"/>
          <w:szCs w:val="24"/>
          <w:lang w:val="en-US" w:eastAsia="zh-CN" w:bidi="ar"/>
        </w:rPr>
        <w:t xml:space="preserve">还应当满足以下条件：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(1)具有专用的生产厂房(或者清洁场地)和生产设备，不得与碳钢混放或者混合生产；对于钛、锆、钽等容器的制造，还应当有专用的洁净封闭厂房；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(2)钛、锆等活性金属压力容器制造单位，具有满足材料切割要求的切割设备；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(3)钛、锆等活性金属压力容器的热处理设备具有保持还原性气氛的能力。</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A3级压力容器制造单位</w:t>
      </w:r>
      <w:r>
        <w:rPr>
          <w:rFonts w:hint="eastAsia" w:ascii="宋体" w:hAnsi="宋体" w:eastAsia="宋体" w:cs="宋体"/>
          <w:color w:val="000000"/>
          <w:kern w:val="0"/>
          <w:sz w:val="24"/>
          <w:szCs w:val="24"/>
          <w:lang w:val="en-US" w:eastAsia="zh-CN" w:bidi="ar"/>
        </w:rPr>
        <w:t>还应当满足以下条件：</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(1)具有满足现场组焊所需要的焊机房、保证温度和湿度的焊材库房及焊材烘干和保温设备；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(2)具有保证施焊条件的措施和设施；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(3)从事球罐现场整体热处理的单位，还应当具有整体热处理的能力和相应的工装设备。</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D级压力容器制造单位</w:t>
      </w:r>
      <w:r>
        <w:rPr>
          <w:rFonts w:hint="eastAsia" w:ascii="宋体" w:hAnsi="宋体" w:eastAsia="宋体" w:cs="宋体"/>
          <w:color w:val="000000"/>
          <w:kern w:val="0"/>
          <w:sz w:val="24"/>
          <w:szCs w:val="24"/>
          <w:lang w:val="en-US" w:eastAsia="zh-CN" w:bidi="ar"/>
        </w:rPr>
        <w:t>还应当满足以下条件：</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具有产品制造需要的卷板机和单台额定起重量不小于 10t 的起重设备。</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多层压力容器制造</w:t>
      </w:r>
      <w:r>
        <w:rPr>
          <w:rFonts w:hint="eastAsia" w:ascii="宋体" w:hAnsi="宋体" w:eastAsia="宋体" w:cs="宋体"/>
          <w:color w:val="000000"/>
          <w:kern w:val="0"/>
          <w:sz w:val="24"/>
          <w:szCs w:val="24"/>
          <w:lang w:val="en-US" w:eastAsia="zh-CN" w:bidi="ar"/>
        </w:rPr>
        <w:t>单位还应当满足以下条件：</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(1)具有热套、包扎或者缠绕等专用设备；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(2)具有与多层压力容器制造方法相适应的专用拉(压)、夹紧、套合装置和工装胎具，套合装置具有能够自动记录温度曲线的能力。</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3.3 检测仪器与试验装置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(1)制造单位应当具有产品制造需要的检测平台、无损检测仪器、理化检验仪器、耐压试验装置和泄漏</w:t>
      </w:r>
      <w:r>
        <w:rPr>
          <w:rFonts w:hint="eastAsia" w:ascii="宋体" w:hAnsi="宋体" w:eastAsia="宋体" w:cs="宋体"/>
          <w:color w:val="000000"/>
          <w:kern w:val="0"/>
          <w:sz w:val="24"/>
          <w:szCs w:val="24"/>
          <w:lang w:val="en-US" w:eastAsia="zh-CN" w:bidi="ar"/>
        </w:rPr>
        <w:t xml:space="preserve">试验装置等；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(2)专项条件规定不允许外委的检测和试验项目，制造单位应当具有相应的检测仪器与试验装置；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(3)具有与制造产品相适应的测量装置，并且按照规定进行检定、校准合格。</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A3级压力容器制造单位</w:t>
      </w:r>
      <w:r>
        <w:rPr>
          <w:rFonts w:hint="eastAsia" w:ascii="宋体" w:hAnsi="宋体" w:eastAsia="宋体" w:cs="宋体"/>
          <w:color w:val="000000"/>
          <w:kern w:val="0"/>
          <w:sz w:val="24"/>
          <w:szCs w:val="24"/>
          <w:lang w:val="en-US" w:eastAsia="zh-CN" w:bidi="ar"/>
        </w:rPr>
        <w:t>还应当满足以下条件：</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(1)具有现场射线检测作业所需要的安全防护及警戒设施和措施，处理底片的暗室设施；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(2)具有满足储罐几何尺寸、柱腿垂直度、基础充水沉降等项目的检测器具和手段。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注4：从事超大型中低压非球形压力容器现场制造的单位，除应当具备相应制造资质外，还应当满足球罐(A3)基本条件及专项条件的要求。A3 条件由监督检验机构负责核查。</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多层压力容器制造</w:t>
      </w:r>
      <w:r>
        <w:rPr>
          <w:rFonts w:hint="eastAsia" w:ascii="宋体" w:hAnsi="宋体" w:eastAsia="宋体" w:cs="宋体"/>
          <w:color w:val="000000"/>
          <w:kern w:val="0"/>
          <w:sz w:val="24"/>
          <w:szCs w:val="24"/>
          <w:lang w:val="en-US" w:eastAsia="zh-CN" w:bidi="ar"/>
        </w:rPr>
        <w:t>单位还应当满足以下条件：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具有层板(带)、套合间隙和松动面积以及缠绕(钢带错绕)倾角等检测专用器具</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3.4 工作外委</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制造单位应当有能力独立完成产品的总体组装、焊(粘)接、耐压试验、检验等制造过程，不允许将压力容器产品的所有受压元件进行外委。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制造单位的设计、无损检测、热处理、理化检验以及部件除焊接外的压制、卷制等成形工作可以外委，专项条件规定不得外委的，从其规定。</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cs="宋体"/>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3.5 产品安全性能的制造保证能力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制造单位应当具备保证产品安全性能的制造能力，能够按照有关的安全技术规范及相关产品标准进行制造，并且在产品生产过程中体现质量保证体系的有效实施，提供完整的产品质量证明文件。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造单位应当具有与压力容器产品制造相关的焊接、热处理、无损检测、耐压试验、泄漏试验等工艺文件，其中焊(粘)接工艺，制造单位应当依据有关安全技术规范及相关标准建立健全覆盖本单位所有产品的焊(粘)接工艺规程。焊(粘)接工艺规程所依据的焊(粘)接工艺评定应当在本单位进行，由本单位熟练焊(粘)接人员使用本单位的设备设施焊(粘)接试件。</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试制造</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(1)试制造样品应当能充分体现并且能验证制造单位申请许可范围内的制造和检验能力；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(2)试制造样品数量及要求见表5，制造单位至少准备 1 台许可范围的试制造样品，如果 1 台试制造样品不能完全包括许可范围产品的制造工艺，可以通过增加试制造样品来达到对所有制造工艺的覆盖；试</w:t>
      </w:r>
      <w:r>
        <w:rPr>
          <w:rFonts w:hint="eastAsia" w:ascii="宋体" w:hAnsi="宋体" w:eastAsia="宋体" w:cs="宋体"/>
          <w:color w:val="000000"/>
          <w:kern w:val="0"/>
          <w:sz w:val="24"/>
          <w:szCs w:val="24"/>
          <w:lang w:val="en-US" w:eastAsia="zh-CN" w:bidi="ar"/>
        </w:rPr>
        <w:t xml:space="preserve">制造样品应当完成耐压试验，未进行喷砂(丸)、油漆、涂装；铸造类等非焊(粘)接压力容器的制造工艺还应当包括铸件组装、耐压试验及其他必要的过程；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(3)典型产品涉及真空绝热容器(罐体)、搪玻璃容器、多层压力容器、储气井和非焊接瓶式容器时，应当准备相应的试制造样品。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制造单位同时设计本单位制造的压力容器，应当先按照TSG 07-2019附件 C1.3 条进行试设计。 </w:t>
      </w:r>
    </w:p>
    <w:p>
      <w:pPr>
        <w:keepNext w:val="0"/>
        <w:keepLines w:val="0"/>
        <w:pageBreakBefore w:val="0"/>
        <w:widowControl/>
        <w:suppressLineNumbers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sz w:val="24"/>
          <w:szCs w:val="24"/>
          <w:lang w:val="en-US"/>
        </w:rPr>
      </w:pPr>
      <w:r>
        <w:rPr>
          <w:rFonts w:hint="eastAsia" w:ascii="宋体" w:hAnsi="宋体" w:eastAsia="宋体" w:cs="宋体"/>
          <w:b/>
          <w:bCs/>
          <w:color w:val="000000"/>
          <w:kern w:val="0"/>
          <w:sz w:val="21"/>
          <w:szCs w:val="21"/>
          <w:lang w:val="en-US" w:eastAsia="zh-CN" w:bidi="ar"/>
        </w:rPr>
        <w:t>注 4：试制造样品需要销售使用的，其试制过程应当接受监督检验</w:t>
      </w:r>
      <w:r>
        <w:rPr>
          <w:rFonts w:hint="eastAsia" w:ascii="宋体" w:hAnsi="宋体" w:cs="宋体"/>
          <w:b/>
          <w:bCs/>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表</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5</w:t>
      </w:r>
      <w:r>
        <w:rPr>
          <w:rFonts w:hint="eastAsia" w:ascii="宋体" w:hAnsi="宋体" w:eastAsia="宋体" w:cs="宋体"/>
          <w:color w:val="000000"/>
          <w:kern w:val="0"/>
          <w:sz w:val="24"/>
          <w:szCs w:val="24"/>
          <w:lang w:val="en-US" w:eastAsia="zh-CN" w:bidi="ar"/>
        </w:rPr>
        <w:t>试制造样品数量及要求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9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9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许可级别</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数量</w:t>
            </w:r>
          </w:p>
        </w:tc>
        <w:tc>
          <w:tcPr>
            <w:tcW w:w="6961"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试制造样品要求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39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A2、D</w:t>
            </w:r>
          </w:p>
        </w:tc>
        <w:tc>
          <w:tcPr>
            <w:tcW w:w="930"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6961"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一般依据 GB/T 150《压力容器》或者 JB 4732《钢</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制压力容器——分析设计标准》设计制造,规格不小于</w:t>
            </w:r>
            <w:r>
              <w:rPr>
                <w:rFonts w:hint="eastAsia" w:ascii="宋体" w:hAnsi="宋体" w:eastAsia="宋体" w:cs="宋体"/>
                <w:i/>
                <w:iCs/>
                <w:color w:val="000000"/>
                <w:kern w:val="0"/>
                <w:sz w:val="24"/>
                <w:szCs w:val="24"/>
                <w:lang w:val="en-US" w:eastAsia="zh-CN" w:bidi="ar"/>
              </w:rPr>
              <w:t>φ</w:t>
            </w:r>
            <w:r>
              <w:rPr>
                <w:rFonts w:hint="eastAsia" w:ascii="宋体" w:hAnsi="宋体" w:eastAsia="宋体" w:cs="宋体"/>
                <w:color w:val="000000"/>
                <w:kern w:val="0"/>
                <w:sz w:val="24"/>
                <w:szCs w:val="24"/>
                <w:lang w:val="en-US" w:eastAsia="zh-CN" w:bidi="ar"/>
              </w:rPr>
              <w:t xml:space="preserve">800×2000mm，应当带有人孔(或者 </w:t>
            </w:r>
            <w:r>
              <w:rPr>
                <w:rFonts w:hint="eastAsia" w:ascii="宋体" w:hAnsi="宋体" w:eastAsia="宋体" w:cs="宋体"/>
                <w:i/>
                <w:iCs/>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i≥400mm 带法兰的接管)，设计参数和制造工艺应当覆盖申请产品范围，制造工艺必须包括卷板成形，A、B、D 三类焊缝的焊接(胀接)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97"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A3</w:t>
            </w:r>
          </w:p>
        </w:tc>
        <w:tc>
          <w:tcPr>
            <w:tcW w:w="930" w:type="dxa"/>
            <w:noWrap w:val="0"/>
            <w:vAlign w:val="center"/>
          </w:tcPr>
          <w:p>
            <w:pPr>
              <w:pStyle w:val="12"/>
              <w:keepNext w:val="0"/>
              <w:keepLines w:val="0"/>
              <w:pageBreakBefore w:val="0"/>
              <w:pBdr>
                <w:bottom w:val="none" w:color="auto" w:sz="0" w:space="0"/>
              </w:pBdr>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c>
          <w:tcPr>
            <w:tcW w:w="6961"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容积不小于200m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 xml:space="preserve"> ，一般依据 GB/T 12337《钢制球</w:t>
            </w:r>
          </w:p>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形储罐》设计制造</w:t>
            </w:r>
          </w:p>
        </w:tc>
      </w:tr>
    </w:tbl>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lang w:val="en-US" w:eastAsia="zh-CN"/>
        </w:rPr>
        <w:t>3.7</w:t>
      </w:r>
      <w:r>
        <w:rPr>
          <w:rFonts w:hint="eastAsia" w:ascii="宋体" w:hAnsi="宋体" w:eastAsia="宋体" w:cs="宋体"/>
          <w:b/>
          <w:bCs/>
          <w:sz w:val="24"/>
          <w:szCs w:val="24"/>
        </w:rPr>
        <w:t xml:space="preserve"> 换证业绩</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制造单位换证时，应当在持证周期内至少制造 1 台相应级别的产品，否则换证评审时按照</w:t>
      </w:r>
      <w:r>
        <w:rPr>
          <w:rFonts w:hint="eastAsia" w:ascii="宋体" w:hAnsi="宋体" w:eastAsia="宋体" w:cs="宋体"/>
          <w:sz w:val="24"/>
          <w:szCs w:val="24"/>
        </w:rPr>
        <w:t>试制造的要求准备试制造样品。</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4.</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自我声明承诺换证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申请“自我声明承诺换证”的，</w:t>
      </w:r>
      <w:r>
        <w:rPr>
          <w:rFonts w:hint="eastAsia" w:ascii="宋体" w:hAnsi="宋体" w:eastAsia="宋体" w:cs="宋体"/>
          <w:sz w:val="24"/>
          <w:szCs w:val="24"/>
          <w:lang w:val="en-US" w:eastAsia="zh-CN"/>
        </w:rPr>
        <w:t>许可周期内与持证级别相应的</w:t>
      </w:r>
      <w:r>
        <w:rPr>
          <w:rFonts w:hint="eastAsia" w:ascii="宋体" w:hAnsi="宋体" w:eastAsia="宋体" w:cs="宋体"/>
          <w:color w:val="000000"/>
          <w:kern w:val="0"/>
          <w:sz w:val="24"/>
          <w:szCs w:val="24"/>
          <w:lang w:val="en-US" w:eastAsia="zh-CN" w:bidi="ar"/>
        </w:rPr>
        <w:t>产品制造业绩不少于 4 台，并且每年至少 1 台。</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换证前一个许可周期内未发生与特种设备相关的行政处罚、责任事故、设备安全性能问题和质量投诉未结案等情况，并且具有TSG 07-2019《特种设备生产和充装单位许可规则》</w:t>
      </w:r>
      <w:r>
        <w:rPr>
          <w:rFonts w:hint="eastAsia" w:ascii="宋体" w:hAnsi="宋体" w:eastAsia="宋体" w:cs="宋体"/>
          <w:color w:val="auto"/>
          <w:sz w:val="24"/>
          <w:szCs w:val="24"/>
        </w:rPr>
        <w:t xml:space="preserve">附件 </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 xml:space="preserve"> 规定的相应生产业绩(注 </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)的持证单位，在其许可</w:t>
      </w:r>
      <w:r>
        <w:rPr>
          <w:rFonts w:hint="eastAsia" w:ascii="宋体" w:hAnsi="宋体" w:eastAsia="宋体" w:cs="宋体"/>
          <w:sz w:val="24"/>
          <w:szCs w:val="24"/>
        </w:rPr>
        <w:t>证有效期届满前，可以通过提交持续满足许可要求的自我声明承诺书等资料，向发证机关申请免鉴定评审直接换证。</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自我声明承诺书应当至少包括以下内容：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(1)申请单位的资源条件、生产业绩、产品安全性能状况等，能够持续满足许可范围的相应许可条件要求；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(2)申请单位的质量保证体系能够持续有效实施；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(3)申请单位前一个许可周期内未发生与特种设备相关的行政处罚、责任事故、设备安全性能问题和质量投诉未结案等情况。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持证单位不得连续两次申请自我声明承诺换证。</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sz w:val="24"/>
          <w:szCs w:val="24"/>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：计入生产业绩产品的参数应当在《特种设备生产单位许可目录》中相应许可子项目的参数范围内。</w:t>
      </w:r>
      <w:r>
        <w:rPr>
          <w:rFonts w:hint="eastAsia" w:ascii="宋体" w:hAnsi="宋体" w:eastAsia="宋体" w:cs="宋体"/>
          <w:sz w:val="24"/>
          <w:szCs w:val="24"/>
        </w:rPr>
        <w:br w:type="page"/>
      </w:r>
      <w:r>
        <w:rPr>
          <w:rFonts w:hint="eastAsia" w:ascii="宋体" w:hAnsi="宋体" w:eastAsia="宋体" w:cs="宋体"/>
          <w:sz w:val="24"/>
          <w:szCs w:val="24"/>
        </w:rPr>
        <w:t xml:space="preserve">附录A            </w:t>
      </w:r>
    </w:p>
    <w:p>
      <w:pPr>
        <w:spacing w:beforeLines="100" w:after="100" w:afterAutospacing="1" w:line="400" w:lineRule="exact"/>
        <w:jc w:val="center"/>
        <w:outlineLvl w:val="0"/>
        <w:rPr>
          <w:rFonts w:hint="eastAsia" w:ascii="黑体" w:hAnsi="黑体" w:eastAsia="黑体"/>
          <w:b/>
          <w:sz w:val="32"/>
          <w:szCs w:val="32"/>
        </w:rPr>
      </w:pPr>
      <w:r>
        <w:rPr>
          <w:rFonts w:hint="eastAsia" w:ascii="黑体" w:hAnsi="黑体" w:eastAsia="黑体"/>
          <w:b/>
          <w:sz w:val="32"/>
          <w:szCs w:val="32"/>
        </w:rPr>
        <w:t>申请单位应准备的文件和材料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 营业执照；</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A2 换证申请单位所持有的特种设备生产许可证及持证期间</w:t>
      </w:r>
      <w:r>
        <w:rPr>
          <w:rFonts w:hint="eastAsia" w:ascii="宋体" w:hAnsi="宋体" w:eastAsia="宋体" w:cs="宋体"/>
          <w:sz w:val="24"/>
          <w:szCs w:val="24"/>
          <w:lang w:eastAsia="zh-CN"/>
        </w:rPr>
        <w:t>压力容器</w:t>
      </w:r>
      <w:r>
        <w:rPr>
          <w:rFonts w:hint="eastAsia" w:ascii="宋体" w:hAnsi="宋体" w:eastAsia="宋体" w:cs="宋体"/>
          <w:sz w:val="24"/>
          <w:szCs w:val="24"/>
        </w:rPr>
        <w:t xml:space="preserve">制造的清单；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A3 土地使用证明、房产证或者土地管理部门出具的其他有效证明、租赁合同（租赁期限应当覆盖申请许可证的有效期）等；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A4 质量保证手册、程序文件、作业（工艺）文件和记录、质量计划、管理制度、操作规程及其他工艺文件；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A5 质量保证体系人员任命文件；质量保证工程师、质量控制系统责任人员、技术人员的学历证书、职称证书；检验检测人员资格证书、注册证书；作业人员的资格证书等；</w:t>
      </w:r>
      <w:r>
        <w:rPr>
          <w:rFonts w:hint="eastAsia" w:ascii="宋体" w:hAnsi="宋体" w:eastAsia="宋体" w:cs="宋体"/>
          <w:bCs/>
          <w:snapToGrid w:val="0"/>
          <w:color w:val="000000"/>
          <w:sz w:val="24"/>
          <w:szCs w:val="24"/>
        </w:rPr>
        <w:t>有效的劳动合同；工资支付凭证或记录（至少3个月），或者社保缴费证明材料（至少3个月）等</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A6 设备、工艺装备、仪器、计量器具、检验与试验装置等台帐、档案、购买凭据及租赁合同等；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A7 检验与试验装置安全附件、检测仪器的检定、校准资料；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A8 所制造</w:t>
      </w:r>
      <w:r>
        <w:rPr>
          <w:rFonts w:hint="eastAsia" w:ascii="宋体" w:hAnsi="宋体" w:eastAsia="宋体" w:cs="宋体"/>
          <w:sz w:val="24"/>
          <w:szCs w:val="24"/>
          <w:lang w:eastAsia="zh-CN"/>
        </w:rPr>
        <w:t>压力容器</w:t>
      </w:r>
      <w:r>
        <w:rPr>
          <w:rFonts w:hint="eastAsia" w:ascii="宋体" w:hAnsi="宋体" w:eastAsia="宋体" w:cs="宋体"/>
          <w:sz w:val="24"/>
          <w:szCs w:val="24"/>
        </w:rPr>
        <w:t>的设计文件，作业（工艺）文件（包括作业指导书、焊接工艺评定报告、工艺规程、工艺卡等），质量计划，检验与试验、验收记录，监督检验报告，质量证明资料等；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A9 申请单位合格外委（包）方名录、外委（包）方评价报告；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A10 管理评审、内审、不合格品（项）控制、质量改进与服务等质量保证体系实施的有关记录；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A11 自评报告；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A12 鉴定评审过程中需要的其他资料。</w:t>
      </w:r>
    </w:p>
    <w:p>
      <w:pPr>
        <w:rPr>
          <w:rFonts w:hint="eastAsia" w:ascii="宋体" w:hAnsi="宋体" w:eastAsia="宋体" w:cs="宋体"/>
          <w:sz w:val="24"/>
          <w:szCs w:val="24"/>
        </w:rPr>
      </w:pPr>
      <w:r>
        <w:rPr>
          <w:rFonts w:hint="eastAsia" w:ascii="宋体" w:hAnsi="宋体" w:eastAsia="宋体" w:cs="宋体"/>
          <w:sz w:val="24"/>
          <w:szCs w:val="24"/>
        </w:rPr>
        <w:t>注：以上文件和材料均为原件。</w:t>
      </w:r>
    </w:p>
    <w:p>
      <w:pPr>
        <w:rPr>
          <w:rFonts w:hint="eastAsia" w:ascii="宋体" w:hAnsi="宋体" w:eastAsia="宋体" w:cs="宋体"/>
          <w:sz w:val="24"/>
          <w:szCs w:val="24"/>
        </w:rPr>
      </w:pPr>
      <w:r>
        <w:rPr>
          <w:rFonts w:hint="eastAsia" w:ascii="宋体" w:hAnsi="宋体" w:eastAsia="宋体" w:cs="宋体"/>
          <w:sz w:val="24"/>
          <w:szCs w:val="24"/>
        </w:rPr>
        <w:br w:type="page"/>
      </w:r>
    </w:p>
    <w:p>
      <w:pPr>
        <w:rPr>
          <w:rFonts w:hint="eastAsia" w:ascii="宋体" w:hAnsi="宋体" w:eastAsia="宋体" w:cs="宋体"/>
          <w:b/>
          <w:sz w:val="24"/>
          <w:szCs w:val="24"/>
        </w:rPr>
      </w:pPr>
      <w:r>
        <w:rPr>
          <w:rFonts w:hint="eastAsia" w:ascii="宋体" w:hAnsi="宋体" w:eastAsia="宋体" w:cs="宋体"/>
          <w:sz w:val="24"/>
          <w:szCs w:val="24"/>
        </w:rPr>
        <w:t>附录B</w:t>
      </w:r>
      <w:r>
        <w:rPr>
          <w:rFonts w:hint="eastAsia" w:ascii="宋体" w:hAnsi="宋体" w:eastAsia="宋体" w:cs="宋体"/>
          <w:bCs/>
          <w:sz w:val="24"/>
          <w:szCs w:val="24"/>
        </w:rPr>
        <w:t xml:space="preserve">         </w:t>
      </w:r>
      <w:r>
        <w:rPr>
          <w:rFonts w:hint="eastAsia" w:ascii="宋体" w:hAnsi="宋体" w:eastAsia="宋体" w:cs="宋体"/>
          <w:b/>
          <w:sz w:val="24"/>
          <w:szCs w:val="24"/>
        </w:rPr>
        <w:t xml:space="preserve">    </w:t>
      </w:r>
    </w:p>
    <w:p>
      <w:pPr>
        <w:spacing w:beforeLines="100" w:after="100" w:afterAutospacing="1" w:line="400" w:lineRule="exact"/>
        <w:jc w:val="center"/>
        <w:outlineLvl w:val="0"/>
        <w:rPr>
          <w:rFonts w:hint="eastAsia" w:ascii="黑体" w:hAnsi="黑体" w:eastAsia="黑体"/>
          <w:b/>
          <w:sz w:val="32"/>
          <w:szCs w:val="32"/>
        </w:rPr>
      </w:pPr>
      <w:r>
        <w:rPr>
          <w:rFonts w:hint="eastAsia" w:ascii="黑体" w:hAnsi="黑体" w:eastAsia="黑体"/>
          <w:b/>
          <w:sz w:val="32"/>
          <w:szCs w:val="32"/>
        </w:rPr>
        <w:t>申请单位应配备的法规和标准</w:t>
      </w:r>
    </w:p>
    <w:tbl>
      <w:tblPr>
        <w:tblStyle w:val="16"/>
        <w:tblpPr w:leftFromText="180" w:rightFromText="180" w:vertAnchor="text" w:horzAnchor="page" w:tblpXSpec="center" w:tblpY="353"/>
        <w:tblOverlap w:val="never"/>
        <w:tblW w:w="0" w:type="auto"/>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425"/>
        <w:gridCol w:w="3661"/>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1" w:type="dxa"/>
            <w:vMerge w:val="restart"/>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425" w:type="dxa"/>
            <w:vMerge w:val="restart"/>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法规标准名称</w:t>
            </w:r>
          </w:p>
        </w:tc>
        <w:tc>
          <w:tcPr>
            <w:tcW w:w="3661" w:type="dxa"/>
            <w:vMerge w:val="restart"/>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标准号或文件号</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811" w:type="dxa"/>
            <w:vMerge w:val="continue"/>
            <w:noWrap w:val="0"/>
            <w:vAlign w:val="center"/>
          </w:tcPr>
          <w:p>
            <w:pPr>
              <w:adjustRightInd w:val="0"/>
              <w:snapToGrid w:val="0"/>
              <w:jc w:val="center"/>
              <w:rPr>
                <w:rFonts w:hint="eastAsia" w:ascii="宋体" w:hAnsi="宋体" w:eastAsia="宋体" w:cs="宋体"/>
                <w:bCs/>
                <w:sz w:val="24"/>
                <w:szCs w:val="24"/>
              </w:rPr>
            </w:pPr>
          </w:p>
        </w:tc>
        <w:tc>
          <w:tcPr>
            <w:tcW w:w="4425" w:type="dxa"/>
            <w:vMerge w:val="continue"/>
            <w:noWrap w:val="0"/>
            <w:vAlign w:val="center"/>
          </w:tcPr>
          <w:p>
            <w:pPr>
              <w:adjustRightInd w:val="0"/>
              <w:snapToGrid w:val="0"/>
              <w:jc w:val="center"/>
              <w:rPr>
                <w:rFonts w:hint="eastAsia" w:ascii="宋体" w:hAnsi="宋体" w:eastAsia="宋体" w:cs="宋体"/>
                <w:bCs/>
                <w:sz w:val="24"/>
                <w:szCs w:val="24"/>
              </w:rPr>
            </w:pPr>
          </w:p>
        </w:tc>
        <w:tc>
          <w:tcPr>
            <w:tcW w:w="3661" w:type="dxa"/>
            <w:vMerge w:val="continue"/>
            <w:noWrap w:val="0"/>
            <w:vAlign w:val="center"/>
          </w:tcPr>
          <w:p>
            <w:pPr>
              <w:adjustRightInd w:val="0"/>
              <w:snapToGrid w:val="0"/>
              <w:jc w:val="center"/>
              <w:rPr>
                <w:rFonts w:hint="eastAsia" w:ascii="宋体" w:hAnsi="宋体" w:eastAsia="宋体" w:cs="宋体"/>
                <w:bCs/>
                <w:sz w:val="24"/>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《中华人民共和国行政许可法》</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国家主席令第七号</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《中华人民共和国特种设备安全法》</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国家主席令第四号</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《特种设备安全监察条例》</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国务院令第549号</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《特种设备生产和充装单位许可规则》</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TSG 07-2019</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4425"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《特种设备目录》</w:t>
            </w:r>
          </w:p>
        </w:tc>
        <w:tc>
          <w:tcPr>
            <w:tcW w:w="3661" w:type="dxa"/>
            <w:noWrap w:val="0"/>
            <w:vAlign w:val="center"/>
          </w:tcPr>
          <w:p>
            <w:pPr>
              <w:adjustRightInd w:val="0"/>
              <w:snapToGrid w:val="0"/>
              <w:rPr>
                <w:rFonts w:hint="eastAsia" w:ascii="宋体" w:hAnsi="宋体" w:eastAsia="宋体" w:cs="宋体"/>
                <w:spacing w:val="-26"/>
                <w:sz w:val="24"/>
                <w:szCs w:val="24"/>
              </w:rPr>
            </w:pPr>
            <w:r>
              <w:rPr>
                <w:rFonts w:hint="eastAsia" w:ascii="宋体" w:hAnsi="宋体" w:eastAsia="宋体" w:cs="宋体"/>
                <w:bCs/>
                <w:kern w:val="36"/>
                <w:sz w:val="24"/>
                <w:szCs w:val="24"/>
              </w:rPr>
              <w:t>质检总局关于修订《特种设备目录》的公告（2014年第114号）</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442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固定式压力容器</w:t>
            </w:r>
            <w:r>
              <w:rPr>
                <w:rFonts w:hint="eastAsia" w:ascii="宋体" w:hAnsi="宋体" w:eastAsia="宋体" w:cs="宋体"/>
                <w:sz w:val="24"/>
                <w:szCs w:val="24"/>
              </w:rPr>
              <w:t>安全技术</w:t>
            </w:r>
            <w:r>
              <w:rPr>
                <w:rFonts w:hint="eastAsia" w:ascii="宋体" w:hAnsi="宋体" w:eastAsia="宋体" w:cs="宋体"/>
                <w:sz w:val="24"/>
                <w:szCs w:val="24"/>
                <w:lang w:eastAsia="zh-CN"/>
              </w:rPr>
              <w:t>监察</w:t>
            </w:r>
            <w:r>
              <w:rPr>
                <w:rFonts w:hint="eastAsia" w:ascii="宋体" w:hAnsi="宋体" w:eastAsia="宋体" w:cs="宋体"/>
                <w:sz w:val="24"/>
                <w:szCs w:val="24"/>
              </w:rPr>
              <w:t>规程》</w:t>
            </w:r>
          </w:p>
        </w:tc>
        <w:tc>
          <w:tcPr>
            <w:tcW w:w="366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TSG </w:t>
            </w:r>
            <w:r>
              <w:rPr>
                <w:rFonts w:hint="eastAsia" w:ascii="宋体" w:hAnsi="宋体" w:eastAsia="宋体" w:cs="宋体"/>
                <w:sz w:val="24"/>
                <w:szCs w:val="24"/>
                <w:lang w:val="en-US" w:eastAsia="zh-CN"/>
              </w:rPr>
              <w:t>21</w:t>
            </w:r>
            <w:r>
              <w:rPr>
                <w:rFonts w:hint="eastAsia" w:ascii="宋体" w:hAnsi="宋体" w:eastAsia="宋体" w:cs="宋体"/>
                <w:sz w:val="24"/>
                <w:szCs w:val="24"/>
              </w:rPr>
              <w:t>-20</w:t>
            </w:r>
            <w:r>
              <w:rPr>
                <w:rFonts w:hint="eastAsia" w:ascii="宋体" w:hAnsi="宋体" w:eastAsia="宋体" w:cs="宋体"/>
                <w:sz w:val="24"/>
                <w:szCs w:val="24"/>
                <w:lang w:val="en-US" w:eastAsia="zh-CN"/>
              </w:rPr>
              <w:t>16</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《特种设备作业人员考核规则》</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TSG Z6001-2019</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《特种设备无损检测人员考核规则》</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TSG Z8001-2019</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《特种设备焊接操作人员考核细则》</w:t>
            </w:r>
          </w:p>
        </w:tc>
        <w:tc>
          <w:tcPr>
            <w:tcW w:w="366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TSG Z6002-2010</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4425" w:type="dxa"/>
            <w:noWrap w:val="0"/>
            <w:vAlign w:val="center"/>
          </w:tcPr>
          <w:p>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《承压设备焊接工艺评定》</w:t>
            </w:r>
          </w:p>
        </w:tc>
        <w:tc>
          <w:tcPr>
            <w:tcW w:w="3661" w:type="dxa"/>
            <w:noWrap w:val="0"/>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NB/T 47014－2011</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4425" w:type="dxa"/>
            <w:noWrap w:val="0"/>
            <w:vAlign w:val="center"/>
          </w:tcPr>
          <w:p>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《承压设备产品焊接试件的力学性能检验》</w:t>
            </w:r>
          </w:p>
        </w:tc>
        <w:tc>
          <w:tcPr>
            <w:tcW w:w="3661" w:type="dxa"/>
            <w:noWrap w:val="0"/>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NB/T 47016－2011</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4425" w:type="dxa"/>
            <w:noWrap w:val="0"/>
            <w:vAlign w:val="center"/>
          </w:tcPr>
          <w:p>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《承压设备无损检测》</w:t>
            </w:r>
          </w:p>
        </w:tc>
        <w:tc>
          <w:tcPr>
            <w:tcW w:w="3661" w:type="dxa"/>
            <w:noWrap w:val="0"/>
            <w:vAlign w:val="center"/>
          </w:tcPr>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NB/T 47013-2015</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4425" w:type="dxa"/>
            <w:noWrap w:val="0"/>
            <w:vAlign w:val="center"/>
          </w:tcPr>
          <w:p>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《承压设备用焊接材料订货技术条件》</w:t>
            </w:r>
          </w:p>
        </w:tc>
        <w:tc>
          <w:tcPr>
            <w:tcW w:w="3661" w:type="dxa"/>
            <w:noWrap w:val="0"/>
            <w:vAlign w:val="center"/>
          </w:tcPr>
          <w:p>
            <w:pPr>
              <w:adjustRightInd w:val="0"/>
              <w:snapToGrid w:val="0"/>
              <w:ind w:firstLine="960" w:firstLineChars="4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NB/T 47018－2017</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压力容器</w:t>
            </w:r>
            <w:r>
              <w:rPr>
                <w:rFonts w:hint="eastAsia" w:ascii="宋体" w:hAnsi="宋体" w:eastAsia="宋体" w:cs="宋体"/>
                <w:sz w:val="24"/>
                <w:szCs w:val="24"/>
              </w:rPr>
              <w:t>》</w:t>
            </w:r>
          </w:p>
        </w:tc>
        <w:tc>
          <w:tcPr>
            <w:tcW w:w="3661" w:type="dxa"/>
            <w:noWrap w:val="0"/>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 xml:space="preserve">GB/T </w:t>
            </w:r>
            <w:r>
              <w:rPr>
                <w:rFonts w:hint="eastAsia" w:ascii="宋体" w:hAnsi="宋体" w:eastAsia="宋体" w:cs="宋体"/>
                <w:sz w:val="24"/>
                <w:szCs w:val="24"/>
                <w:lang w:val="en-US" w:eastAsia="zh-CN"/>
              </w:rPr>
              <w:t>150</w:t>
            </w:r>
            <w:r>
              <w:rPr>
                <w:rFonts w:hint="eastAsia" w:ascii="宋体" w:hAnsi="宋体" w:eastAsia="宋体" w:cs="宋体"/>
                <w:sz w:val="24"/>
                <w:szCs w:val="24"/>
              </w:rPr>
              <w:t>－201</w:t>
            </w:r>
            <w:r>
              <w:rPr>
                <w:rFonts w:hint="eastAsia" w:ascii="宋体" w:hAnsi="宋体" w:eastAsia="宋体" w:cs="宋体"/>
                <w:sz w:val="24"/>
                <w:szCs w:val="24"/>
                <w:lang w:val="en-US" w:eastAsia="zh-CN"/>
              </w:rPr>
              <w:t>1</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4425"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其他相关法律法规、安全技术规范、标准</w:t>
            </w:r>
          </w:p>
        </w:tc>
        <w:tc>
          <w:tcPr>
            <w:tcW w:w="3661" w:type="dxa"/>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p>
        </w:tc>
        <w:tc>
          <w:tcPr>
            <w:tcW w:w="4425" w:type="dxa"/>
            <w:noWrap w:val="0"/>
            <w:vAlign w:val="center"/>
          </w:tcPr>
          <w:p>
            <w:pPr>
              <w:adjustRightInd w:val="0"/>
              <w:snapToGrid w:val="0"/>
              <w:jc w:val="left"/>
              <w:rPr>
                <w:rFonts w:hint="eastAsia" w:ascii="宋体" w:hAnsi="宋体" w:eastAsia="宋体" w:cs="宋体"/>
                <w:sz w:val="24"/>
                <w:szCs w:val="24"/>
              </w:rPr>
            </w:pPr>
          </w:p>
        </w:tc>
        <w:tc>
          <w:tcPr>
            <w:tcW w:w="3661" w:type="dxa"/>
            <w:noWrap w:val="0"/>
            <w:vAlign w:val="center"/>
          </w:tcPr>
          <w:p>
            <w:pPr>
              <w:adjustRightInd w:val="0"/>
              <w:snapToGrid w:val="0"/>
              <w:ind w:firstLine="960" w:firstLineChars="400"/>
              <w:jc w:val="left"/>
              <w:rPr>
                <w:rFonts w:hint="eastAsia" w:ascii="宋体" w:hAnsi="宋体" w:eastAsia="宋体" w:cs="宋体"/>
                <w:sz w:val="24"/>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p>
        </w:tc>
        <w:tc>
          <w:tcPr>
            <w:tcW w:w="4425" w:type="dxa"/>
            <w:noWrap w:val="0"/>
            <w:vAlign w:val="center"/>
          </w:tcPr>
          <w:p>
            <w:pPr>
              <w:widowControl/>
              <w:spacing w:before="100" w:beforeAutospacing="1" w:after="100" w:afterAutospacing="1"/>
              <w:rPr>
                <w:rFonts w:hint="eastAsia" w:ascii="宋体" w:hAnsi="宋体" w:eastAsia="宋体" w:cs="宋体"/>
                <w:sz w:val="24"/>
                <w:szCs w:val="24"/>
              </w:rPr>
            </w:pPr>
          </w:p>
        </w:tc>
        <w:tc>
          <w:tcPr>
            <w:tcW w:w="3661" w:type="dxa"/>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p>
        </w:tc>
        <w:tc>
          <w:tcPr>
            <w:tcW w:w="4425" w:type="dxa"/>
            <w:noWrap w:val="0"/>
            <w:vAlign w:val="center"/>
          </w:tcPr>
          <w:p>
            <w:pPr>
              <w:adjustRightInd w:val="0"/>
              <w:snapToGrid w:val="0"/>
              <w:jc w:val="left"/>
              <w:rPr>
                <w:rFonts w:hint="eastAsia" w:ascii="宋体" w:hAnsi="宋体" w:eastAsia="宋体" w:cs="宋体"/>
                <w:sz w:val="24"/>
                <w:szCs w:val="24"/>
              </w:rPr>
            </w:pPr>
          </w:p>
        </w:tc>
        <w:tc>
          <w:tcPr>
            <w:tcW w:w="3661" w:type="dxa"/>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noWrap w:val="0"/>
            <w:vAlign w:val="center"/>
          </w:tcPr>
          <w:p>
            <w:pPr>
              <w:adjustRightInd w:val="0"/>
              <w:snapToGrid w:val="0"/>
              <w:jc w:val="center"/>
              <w:rPr>
                <w:rFonts w:hint="eastAsia" w:ascii="宋体" w:hAnsi="宋体" w:eastAsia="宋体" w:cs="宋体"/>
                <w:sz w:val="24"/>
                <w:szCs w:val="24"/>
              </w:rPr>
            </w:pPr>
          </w:p>
        </w:tc>
        <w:tc>
          <w:tcPr>
            <w:tcW w:w="4425" w:type="dxa"/>
            <w:noWrap w:val="0"/>
            <w:vAlign w:val="center"/>
          </w:tcPr>
          <w:p>
            <w:pPr>
              <w:widowControl/>
              <w:spacing w:before="100" w:beforeAutospacing="1" w:after="100" w:afterAutospacing="1"/>
              <w:rPr>
                <w:rFonts w:hint="eastAsia" w:ascii="宋体" w:hAnsi="宋体" w:eastAsia="宋体" w:cs="宋体"/>
                <w:sz w:val="24"/>
                <w:szCs w:val="24"/>
              </w:rPr>
            </w:pPr>
          </w:p>
        </w:tc>
        <w:tc>
          <w:tcPr>
            <w:tcW w:w="3661" w:type="dxa"/>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tcBorders>
              <w:bottom w:val="single" w:color="auto" w:sz="4" w:space="0"/>
            </w:tcBorders>
            <w:noWrap w:val="0"/>
            <w:vAlign w:val="center"/>
          </w:tcPr>
          <w:p>
            <w:pPr>
              <w:adjustRightInd w:val="0"/>
              <w:snapToGrid w:val="0"/>
              <w:jc w:val="center"/>
              <w:rPr>
                <w:rFonts w:hint="eastAsia" w:ascii="宋体" w:hAnsi="宋体" w:eastAsia="宋体" w:cs="宋体"/>
                <w:sz w:val="24"/>
                <w:szCs w:val="24"/>
              </w:rPr>
            </w:pPr>
          </w:p>
        </w:tc>
        <w:tc>
          <w:tcPr>
            <w:tcW w:w="4425" w:type="dxa"/>
            <w:tcBorders>
              <w:bottom w:val="single" w:color="auto" w:sz="4" w:space="0"/>
            </w:tcBorders>
            <w:noWrap w:val="0"/>
            <w:vAlign w:val="center"/>
          </w:tcPr>
          <w:p>
            <w:pPr>
              <w:adjustRightInd w:val="0"/>
              <w:snapToGrid w:val="0"/>
              <w:jc w:val="left"/>
              <w:rPr>
                <w:rFonts w:hint="eastAsia" w:ascii="宋体" w:hAnsi="宋体" w:eastAsia="宋体" w:cs="宋体"/>
                <w:sz w:val="24"/>
                <w:szCs w:val="24"/>
              </w:rPr>
            </w:pPr>
          </w:p>
        </w:tc>
        <w:tc>
          <w:tcPr>
            <w:tcW w:w="3661" w:type="dxa"/>
            <w:tcBorders>
              <w:bottom w:val="single" w:color="auto" w:sz="4" w:space="0"/>
            </w:tcBorders>
            <w:noWrap w:val="0"/>
            <w:vAlign w:val="center"/>
          </w:tcPr>
          <w:p>
            <w:pPr>
              <w:adjustRightInd w:val="0"/>
              <w:snapToGrid w:val="0"/>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注：法律法规、安全技术规范、标准应为现行有效版本。</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附录C          </w:t>
      </w:r>
    </w:p>
    <w:p>
      <w:pPr>
        <w:spacing w:beforeLines="100" w:after="100" w:afterAutospacing="1" w:line="400" w:lineRule="exact"/>
        <w:jc w:val="center"/>
        <w:outlineLvl w:val="0"/>
        <w:rPr>
          <w:rFonts w:hint="eastAsia" w:ascii="黑体" w:hAnsi="黑体" w:eastAsia="黑体"/>
          <w:b/>
          <w:sz w:val="32"/>
          <w:szCs w:val="32"/>
        </w:rPr>
      </w:pPr>
      <w:r>
        <w:rPr>
          <w:rFonts w:hint="eastAsia" w:ascii="黑体" w:hAnsi="黑体" w:eastAsia="黑体"/>
          <w:b/>
          <w:sz w:val="32"/>
          <w:szCs w:val="32"/>
        </w:rPr>
        <w:t>质量保证体系评审要求</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C1 一般要求</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特种设备质量保证体系是指生产单位为了使产品、过程、服务达到质量要求所进行的全部有计划有组织的监督和控制活动，并且提供相应的证据，确保使用单位、政府监督管理部门及社会等对其质量的信任。</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C1.1 建立原则</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压力容器</w:t>
      </w:r>
      <w:r>
        <w:rPr>
          <w:rFonts w:hint="eastAsia" w:ascii="宋体" w:hAnsi="宋体" w:eastAsia="宋体" w:cs="宋体"/>
          <w:sz w:val="24"/>
          <w:szCs w:val="24"/>
        </w:rPr>
        <w:t>制造单位应当结合许可范围的特性和实际情况，按照以下原则建立质量保证体系，并且得到有效实施：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（1）符合国家法律法规、安全技术规范及相关标准；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（2）能够对</w:t>
      </w:r>
      <w:r>
        <w:rPr>
          <w:rFonts w:hint="eastAsia" w:ascii="宋体" w:hAnsi="宋体" w:eastAsia="宋体" w:cs="宋体"/>
          <w:sz w:val="24"/>
          <w:szCs w:val="24"/>
          <w:lang w:eastAsia="zh-CN"/>
        </w:rPr>
        <w:t>压力容器</w:t>
      </w:r>
      <w:r>
        <w:rPr>
          <w:rFonts w:hint="eastAsia" w:ascii="宋体" w:hAnsi="宋体" w:eastAsia="宋体" w:cs="宋体"/>
          <w:sz w:val="24"/>
          <w:szCs w:val="24"/>
        </w:rPr>
        <w:t>制造安全性能实施有效控制；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（3）质量方针、质量目标适合实际情况；</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（4）质量保证体系组织能够独立行使质量监督、控制职权；</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（5）质量保证体系人员（包括质量保证工程师、各质量控制系统责任人员）职责、权限及各质量控制系统的工作接口明确；</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（6）质量保证体系的基本要素及相关质量控制系统的控制范围、程序、内容、记录齐全；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（7）质量保证体系文件规范、系统、齐全；</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（8）满足特种设备许可制度的规定。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C1.2 质量保证体系组织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生产单位法定代表人（主要负责人）、质量保证工程师、各质量控制系统责任人员、有关责任人员，以及其所赋予的相应职权，构成质量保证体系组织，对生产过程实施有效质量监督和控制。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C1.2.1 人员</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质量保证工程师和各质量控制系统责任人员经正式任命。质量保证工程师应是单位管理层成员。</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C1.2.2 人员职权</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C1.2.2.1 法定代表人（主要负责人）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法定代表人（主要负责人）是特种设备安全、质量的第一责任人。</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C1.2.2.2 质量保证工程师</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（1）组织贯彻、实施有关特种设备的法律法规、安全技术规范及相关标准，对质量保证系统的实施负责；</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（2）组织制订质量保证手册、程序文件等质量保证体系文件，批准程序文件；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（3）指导和协调、监督和检查质量保证体系各质量控制系统的工作；</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（4）定期组织质量分析、质量审核，并且协助进行管理评审工作；</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（5）实施对不合格品（项）的控制，行使质量一票否决权；</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（6）组织建立和健全内外部质量信息反馈和处理的信息系统；</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（7）有向特种设备安全监管部门如实反映质量问题的权力和义务；</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（8）组织对质量控制体系责任人员及其相关人员定期进行教育和培训。</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C1.2.2.3 质量控制系统责任人员</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在质量保证工程师的领导下，按照质量保证体系的要求，对所负责的质量控制系统履行以下职权，对控制系统是否有效实施负责：</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（1）负责审核质量控制程序文件；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（2）审查确认相关工作见证，检查生产过程的质量控制程序和要求实施情况；</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（3）发现问题应当与当事人及时联系、解决，并且有权要求停止当事人的工作，将情况向质量保证工程师报告。</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C1.3 管理评审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管理层应当每年至少对</w:t>
      </w:r>
      <w:r>
        <w:rPr>
          <w:rFonts w:hint="eastAsia" w:ascii="宋体" w:hAnsi="宋体" w:eastAsia="宋体" w:cs="宋体"/>
          <w:sz w:val="24"/>
          <w:szCs w:val="24"/>
          <w:lang w:eastAsia="zh-CN"/>
        </w:rPr>
        <w:t>压力容器</w:t>
      </w:r>
      <w:r>
        <w:rPr>
          <w:rFonts w:hint="eastAsia" w:ascii="宋体" w:hAnsi="宋体" w:eastAsia="宋体" w:cs="宋体"/>
          <w:sz w:val="24"/>
          <w:szCs w:val="24"/>
        </w:rPr>
        <w:t>制造质量保证体系的适应性、充分性和有效性进行一次管理评审，管理评审由法定代表人（主要负责人）负责，评审内容和结果应当予以记录，并且形成评审报告，由法定代表人（主要负责人）批准。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C1.4 质量保证体系文件发生变化的管理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质量保证体系发生变化时，应当及时按照规定程序进行完善，修订相应的质量保证体系文件，必要时对质量保证手册进行再版。</w:t>
      </w:r>
    </w:p>
    <w:p>
      <w:pPr>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C2 质量保证体系文件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质量保证体系文件包括质量保证手册、程序文件、作业（工艺）文件（如作业指导书、工艺规程、工艺卡、操作规程等）、质量记录（表、卡）、质量计划等。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C2.1 质量保证手册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质量保证手册应当描述质量保证体系文件的结构层次和相互关系，并至少包括以下内容：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（1）术语和缩写；</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（2）体系的适用范围；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（3）质量方针和目标；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（4）质量保证体系组织及管理职责；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（5）质量保证体系基本要素、质量控制系统、控制环节、控制点的要求。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C2.2 程序文件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程序文件与质量方针相一致，满足质量保证手册基本要素要求，并且符合实际情况，具有可操作性。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C2.3 作业（工艺）文件和质量记录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作业（工艺）文件和质量记录应当符合许可范围的特性，满足质量保证体系实施过程的控制需要。文件格式应当规范、统一。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C2.4 审查质量计划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质量计划应当满足许可范围特性和单位实际情况，依据各质量控制系统的要求，合理设置控制环节、控制点，重点抽查其审核点、见证点、停止点的记录，且至少应包括控制内容和要求、过程中实际操作要求、质量控制系统责任人员和相关人员签字确认规定等。 </w:t>
      </w:r>
    </w:p>
    <w:p>
      <w:pPr>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C3 质量保证体系控制要素</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体系控制要素，包括文件和记录控制、合同控制、设计控制、材料与零部件控制、作业（工艺）控制、焊接控制、热处理控制、无损检测控制、理化检验控制、检验与试验控制、生产设备和检验试验装置控制、不合格品（项）控制、质量改进与服务、人员管理、执行特种设备许可制度等过程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 文件和记录控制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C3.1.1 文件控制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（1）明确受控文件的类别，包括质量保证体系文件、外来文件、其他需控制的文件等；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（2）明确文件的编制、会签、审批、标识、发放、修改、回收规定，其中外来文件控制还应当有收集、购买、接收等规定，重点抽查审批、发放、回收记录；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（3）质量保证体系实施的相关部门、人员及场所使用的受控文件为有效版本的规定；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（4）文件的保管方式、保管设施、保存期限及其销毁的规定。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受控文件的类别确定、发放使用、销毁，应当由相应质量控制系统责任人员审查确认，作出记录。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C3.1.2 记录控制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压力容器</w:t>
      </w:r>
      <w:r>
        <w:rPr>
          <w:rFonts w:hint="eastAsia" w:ascii="宋体" w:hAnsi="宋体" w:eastAsia="宋体" w:cs="宋体"/>
          <w:sz w:val="24"/>
          <w:szCs w:val="24"/>
        </w:rPr>
        <w:t>制造过程中形成的质量记录的填写、确认、收集、归档、贮存的规定，抽查质量记录与记录控制规程是否相符；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（2）记录的保管和保存期限的规定；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（3）质量保证体系实施部门、人员及场所使用相关受控记录表格为有效版本的规定。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记录的归档、受控记录表格有效版本，由相应质量控制系统责任人员进行审查确认，并且对记录的使用、保管进行定期检查，作出记录。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C3.2 合同控制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合同评审的范围、程序、内容如下：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（1）合同评审的范围、内容，包括执行的法律法规、安全技术规范、及相关标准，以及技术条件等，形成评审记录并保存；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（2）合同签订、修改、会签程序。</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C3.3 设计控制</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抽查设计文件，其控制文件是否包括如下内容：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（1）设计输入，形成设计输入文件（如设计任务书等），内容包括依据的法规、安全技术规范及相关标准，以及技术条件等；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（2）设计输出，应当形成设计输出文件（包括设计说明书、设计计算书、设计图样等），设计文件应当满足法规、安全技术规范、相关标准及技术条件等；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（3）安全技术规范及相关标准规定用试验方法进行设计验证的，制订设计验证的规定；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（4）对设计文件进行修改的规定；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（5）设计文件由外单位提供时，对外来设计文件进行控制的规定；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（6）法规、安全技术规范对</w:t>
      </w:r>
      <w:r>
        <w:rPr>
          <w:rFonts w:hint="eastAsia" w:ascii="宋体" w:hAnsi="宋体" w:eastAsia="宋体" w:cs="宋体"/>
          <w:sz w:val="24"/>
          <w:szCs w:val="24"/>
          <w:lang w:eastAsia="zh-CN"/>
        </w:rPr>
        <w:t>压力容器</w:t>
      </w:r>
      <w:r>
        <w:rPr>
          <w:rFonts w:hint="eastAsia" w:ascii="宋体" w:hAnsi="宋体" w:eastAsia="宋体" w:cs="宋体"/>
          <w:sz w:val="24"/>
          <w:szCs w:val="24"/>
        </w:rPr>
        <w:t>设计许可、设计文件鉴定、产品型式试验等有要求的，制定相关规定。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设计文件有鉴定要求的，设计文件应当在送交设计文件鉴定机构鉴定前，由相应质量控制系统责任人员审查确认，作出记录。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C3.4 材料与零部件控制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抽查受压元件、承压零部件的质量控制，其控制文件是否包括如下内容：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（1）如对受委托方进行评价、选择、重新评价，编制受委托方评价报告，建立合格受委托方名录等，明确规定对受委托方的许可资格进行确认；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（2）材料验收和复验的规定，包括未经验收（复验）或者验收不合格的材料与零部件不得投入使用等；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（3）材料标识（可追溯性标识）的编制、标注方法、位置和移植等；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（4）材料与零部件的存放与保管，包括储存场地、分区堆放等；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（5）材料与零部件的领用和使用的控制，包括质量证明文件、牌号、规格、材料炉批号、检验结果的确认、材料领用发放、切割下料、成型、加工前材料标识的移植及确认、余料和废料的处理等；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（6）材料与零部件代用，包括代用的基本要求及代用范围、代用的审批、代用的检验试验等。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材料与零部件受委托方评价报告，材料与零部件检查验收报告，材料与零部件代用审批报告，由相应质量控制系统责任人员审查确认，并对保管、使用情况进行定期检查，作出记录。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C3.5 作业（工艺）控制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抽查</w:t>
      </w:r>
      <w:r>
        <w:rPr>
          <w:rFonts w:hint="eastAsia" w:ascii="宋体" w:hAnsi="宋体" w:eastAsia="宋体" w:cs="宋体"/>
          <w:sz w:val="24"/>
          <w:szCs w:val="24"/>
          <w:lang w:eastAsia="zh-CN"/>
        </w:rPr>
        <w:t>压力容器</w:t>
      </w:r>
      <w:r>
        <w:rPr>
          <w:rFonts w:hint="eastAsia" w:ascii="宋体" w:hAnsi="宋体" w:eastAsia="宋体" w:cs="宋体"/>
          <w:sz w:val="24"/>
          <w:szCs w:val="24"/>
        </w:rPr>
        <w:t xml:space="preserve">制造过程作业（工艺）的控制应包括如下内容：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（1）对工艺文件的控制要求，包括通用或专用工艺文件制定的条件和原则要求、工艺文件的编制、审批、修改、使用的要求等；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（2）作业（工艺）执行情况检查要求，包括检查时间、人员，检查的工序，检查项目、内容等；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（3）生产用工装、模具的管理，包括设计、制作及验收、建档、标识、保管、定期检验、维修及报废等。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相应质量控制系统责任人员应当定期对作业（工艺）执行情况进行检查，作出记录。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C3.6 焊接控制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抽查焊接人员的证件，施焊项目是否与现场施焊项目相符、焊接材料是否按规定存放和回收、焊接工艺评定及焊接工艺规程、焊接过程、焊接试板等控制规定，其焊接控制内容如下： </w:t>
      </w:r>
    </w:p>
    <w:p>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（1）重点抽查焊接人员的管理规定，抽查焊接人员培训和资格考核、持证焊接人员的合格项目、持证焊接人员的标识、焊接人员档案及其考核记录等； </w:t>
      </w:r>
    </w:p>
    <w:p>
      <w:pPr>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（2）重点抽查焊接材料的控制规定，抽查焊接材料的采购、验收（复验）、检验、储存、烘干、发放、使用和回收记录等；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重点抽查焊接工艺评定报告（PQR）、焊接工艺规程（WPS）、焊接工艺指导书的控制规定，抽查焊接工艺评定报告、相关检验检测报告、工艺评定施焊记录、焊接工艺评定试样的保存记录等，焊接试件由制造单位熟练焊接人</w:t>
      </w:r>
      <w:r>
        <w:rPr>
          <w:rFonts w:hint="eastAsia" w:ascii="宋体" w:hAnsi="宋体" w:eastAsia="宋体" w:cs="宋体"/>
          <w:spacing w:val="-10"/>
          <w:sz w:val="24"/>
          <w:szCs w:val="24"/>
        </w:rPr>
        <w:t>员使用制造单位的设备设施焊接</w:t>
      </w:r>
      <w:r>
        <w:rPr>
          <w:rFonts w:hint="eastAsia" w:ascii="宋体" w:hAnsi="宋体" w:eastAsia="宋体" w:cs="宋体"/>
          <w:sz w:val="24"/>
          <w:szCs w:val="24"/>
        </w:rPr>
        <w:t xml:space="preserve">；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（4）重点抽查焊接工艺评定的项目覆盖制造单位</w:t>
      </w:r>
      <w:r>
        <w:rPr>
          <w:rFonts w:hint="eastAsia" w:ascii="宋体" w:hAnsi="宋体" w:eastAsia="宋体" w:cs="宋体"/>
          <w:sz w:val="24"/>
          <w:szCs w:val="24"/>
          <w:lang w:eastAsia="zh-CN"/>
        </w:rPr>
        <w:t>压力容器</w:t>
      </w:r>
      <w:r>
        <w:rPr>
          <w:rFonts w:hint="eastAsia" w:ascii="宋体" w:hAnsi="宋体" w:eastAsia="宋体" w:cs="宋体"/>
          <w:sz w:val="24"/>
          <w:szCs w:val="24"/>
        </w:rPr>
        <w:t xml:space="preserve">制造所需要的焊接工艺，抽查其焊接工艺记录；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（5）焊接过程控制要求，包括焊接工艺、产品施焊记录、焊接设备及焊接质量统计等；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（6）焊缝返修（母材缺陷补焊）的控制要求，包括焊缝返修（母材缺陷补焊）工艺、焊缝返修次数和焊缝返修审批、焊缝返修（母材缺陷补焊）后重新检验检测等；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（7）产品焊接试板的控制要求，包括焊接试板的数量、制作、焊接方式、标识、热处理、检验检测项目、试样加工、检验与试验、焊接试板和试样不合格的处理、试样的保存等。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相应质量控制系统责任人员应当对执行情况进行检查，作出记录。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C3.7 热处理控制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抽查</w:t>
      </w:r>
      <w:r>
        <w:rPr>
          <w:rFonts w:hint="eastAsia" w:ascii="宋体" w:hAnsi="宋体" w:eastAsia="宋体" w:cs="宋体"/>
          <w:sz w:val="24"/>
          <w:szCs w:val="24"/>
          <w:lang w:eastAsia="zh-CN"/>
        </w:rPr>
        <w:t>压力容器</w:t>
      </w:r>
      <w:r>
        <w:rPr>
          <w:rFonts w:hint="eastAsia" w:ascii="宋体" w:hAnsi="宋体" w:eastAsia="宋体" w:cs="宋体"/>
          <w:sz w:val="24"/>
          <w:szCs w:val="24"/>
        </w:rPr>
        <w:t>制造</w:t>
      </w:r>
      <w:r>
        <w:rPr>
          <w:rFonts w:hint="eastAsia" w:ascii="宋体" w:hAnsi="宋体" w:eastAsia="宋体" w:cs="宋体"/>
          <w:bCs/>
          <w:sz w:val="24"/>
          <w:szCs w:val="24"/>
        </w:rPr>
        <w:t>热处理控制</w:t>
      </w:r>
      <w:r>
        <w:rPr>
          <w:rFonts w:hint="eastAsia" w:ascii="宋体" w:hAnsi="宋体" w:eastAsia="宋体" w:cs="宋体"/>
          <w:sz w:val="24"/>
          <w:szCs w:val="24"/>
        </w:rPr>
        <w:t xml:space="preserve">应包括如下内容：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（1）热处理工艺基本要求；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（2）热处理控制要求，包括热处理设备、测温装置、温度自动记录装置、热处理记录和报告的填写、审核确认等；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（3）热处理外委的，对受委托单位热处理质量控制规定，包括对受委托单位的确定，热处理工艺控制，受委托单位热处理报告、记录和报告的审查确认等。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热处理工艺、热处理记录和报告，受委托方的评价，由相应质量控制系统责任人员审查确认，作出记录。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C3.8 无损检测控制</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重点抽查</w:t>
      </w:r>
      <w:r>
        <w:rPr>
          <w:rFonts w:hint="eastAsia" w:ascii="宋体" w:hAnsi="宋体" w:eastAsia="宋体" w:cs="宋体"/>
          <w:sz w:val="24"/>
          <w:szCs w:val="24"/>
          <w:lang w:eastAsia="zh-CN"/>
        </w:rPr>
        <w:t>压力容器</w:t>
      </w:r>
      <w:r>
        <w:rPr>
          <w:rFonts w:hint="eastAsia" w:ascii="宋体" w:hAnsi="宋体" w:eastAsia="宋体" w:cs="宋体"/>
          <w:sz w:val="24"/>
          <w:szCs w:val="24"/>
        </w:rPr>
        <w:t>制造</w:t>
      </w:r>
      <w:r>
        <w:rPr>
          <w:rFonts w:hint="eastAsia" w:ascii="宋体" w:hAnsi="宋体" w:eastAsia="宋体" w:cs="宋体"/>
          <w:bCs/>
          <w:sz w:val="24"/>
          <w:szCs w:val="24"/>
        </w:rPr>
        <w:t>无损检测控制</w:t>
      </w:r>
      <w:r>
        <w:rPr>
          <w:rFonts w:hint="eastAsia" w:ascii="宋体" w:hAnsi="宋体" w:eastAsia="宋体" w:cs="宋体"/>
          <w:sz w:val="24"/>
          <w:szCs w:val="24"/>
        </w:rPr>
        <w:t xml:space="preserve">应包括如下内容：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（1）无损检测人员管理，包括无损检测人员的培训、考核，资格证书，持证项目的管理，无损检测人员的职责、权限记录等；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（2）无损检测通用工艺、专用工艺基本要求，包括无损检测方法、依据的安全技术规范、标准记录等；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（3）无损检测过程控制，包括无损检测方法、数量、比例，不合格部位的检测、扩探比例，评定标准等；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（4）重点抽查无损检测记录、报告的控制要求，抽查无损检测记录、报告的填写、审核等人员的签字确认，复评、发放，以及底片电子资料等的保管；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（5）无损检测仪器及试块的控制要求；</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（6）无损检测工作外委时，对受委托单位无损检测质量控制，包括对受委托单位的确定对受委托单位的无损检测工艺、无损检测记录和报告的审查与确认等。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无损检测工艺、无损检测报告、无损检测工作见证（底片、电子资料等）、受委托单位的评价，人员的考核持证情况，由相应质量控制责任人员审查确认，作出记录。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C3.9 理化检验控制</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w:t>
      </w:r>
      <w:r>
        <w:rPr>
          <w:rFonts w:hint="eastAsia" w:ascii="宋体" w:hAnsi="宋体" w:eastAsia="宋体" w:cs="宋体"/>
          <w:bCs/>
          <w:sz w:val="24"/>
          <w:szCs w:val="24"/>
        </w:rPr>
        <w:t>理化检验控制</w:t>
      </w:r>
      <w:r>
        <w:rPr>
          <w:rFonts w:hint="eastAsia" w:ascii="宋体" w:hAnsi="宋体" w:eastAsia="宋体" w:cs="宋体"/>
          <w:sz w:val="24"/>
          <w:szCs w:val="24"/>
        </w:rPr>
        <w:t>应包括如下内容：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（1）理化检验人员培训上岗的规定；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（2）理化检验过程控制，包括理化检验方法确定和操作过程的控制等；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（3）理化检验记录、报告的填写、审核、结论确认、发放、复验以及试样、试剂、标样的管理等；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（4）理化检验的试样加工及试样检测；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（5）理化检验外委时，对受委托单位理化检验质量，包括对受委托单位的确定，对受委托单位理化检验工艺、理化检验记录和报告的审查确认。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对受委托单位的评价、理化检验报告，由相应质量控制系统责任人员审查确认，作出记录。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C3.10 检验与试验控制</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w:t>
      </w:r>
      <w:r>
        <w:rPr>
          <w:rFonts w:hint="eastAsia" w:ascii="宋体" w:hAnsi="宋体" w:eastAsia="宋体" w:cs="宋体"/>
          <w:bCs/>
          <w:sz w:val="24"/>
          <w:szCs w:val="24"/>
        </w:rPr>
        <w:t>检验与试验控制</w:t>
      </w:r>
      <w:r>
        <w:rPr>
          <w:rFonts w:hint="eastAsia" w:ascii="宋体" w:hAnsi="宋体" w:eastAsia="宋体" w:cs="宋体"/>
          <w:sz w:val="24"/>
          <w:szCs w:val="24"/>
        </w:rPr>
        <w:t>应包括如下内容：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（1）检验与试验工艺文件基本要求，包括依据、内容、方法等；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（2）检验与试验条件控制，包括检验与试验场地、环境、温度、介质、设备（装置）、工装、试验载荷、安全防护、试验监督和确认；</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（3）过程检验与试验控制，包括前道工序未完成所要求的检验与试验或必须的检验与试验报告未签发和确认前，不得转入下道工序或放行的规定；</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（4）最终检验与试验的控制，包括最终检验与试验前所有的过程检验与试验均已完成，且检验与试验结论满足安全技术规范及相关标准的规定；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（5）检验与试验状态，如合格、不合格、待检的标识控制；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安全技术规范及相关标准有型式试验或其他特殊试验规定时，应当编制相应的试验规定，包括型式试验项目及其覆盖产品范围、型式试验机构、型式试验报告、型式试验结论及其他特殊试验条件、方法、工艺、记录、报告及试验结论的要求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（7）检验与试验记录和报告控制，包括检验与试验的记录、报告的填写、审核和确认等，检验试验记录、报告、样机（试样、试件）的收集、归档以及保管的特殊要求等。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检验与试验工艺，最终检验与试验报告，由相应质量控制系统责任人员审查确认，作出记录。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C3.11 生产设备和检验与试验装置控制</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抽查生产</w:t>
      </w:r>
      <w:r>
        <w:rPr>
          <w:rFonts w:hint="eastAsia" w:ascii="宋体" w:hAnsi="宋体" w:eastAsia="宋体" w:cs="宋体"/>
          <w:bCs/>
          <w:sz w:val="24"/>
          <w:szCs w:val="24"/>
        </w:rPr>
        <w:t>设备和检验与试验装置控制</w:t>
      </w:r>
      <w:r>
        <w:rPr>
          <w:rFonts w:hint="eastAsia" w:ascii="宋体" w:hAnsi="宋体" w:eastAsia="宋体" w:cs="宋体"/>
          <w:sz w:val="24"/>
          <w:szCs w:val="24"/>
        </w:rPr>
        <w:t>应包括如下内容：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（1）生产设备</w:t>
      </w:r>
      <w:r>
        <w:rPr>
          <w:rFonts w:hint="eastAsia" w:ascii="宋体" w:hAnsi="宋体" w:eastAsia="宋体" w:cs="宋体"/>
          <w:bCs/>
          <w:sz w:val="24"/>
          <w:szCs w:val="24"/>
        </w:rPr>
        <w:t>和检验与试验装置</w:t>
      </w:r>
      <w:r>
        <w:rPr>
          <w:rFonts w:hint="eastAsia" w:ascii="宋体" w:hAnsi="宋体" w:eastAsia="宋体" w:cs="宋体"/>
          <w:sz w:val="24"/>
          <w:szCs w:val="24"/>
        </w:rPr>
        <w:t xml:space="preserve">控制，包括采购，验收，操作，维护，使用环境，检定校准，检修、封存以及报废记录等；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（2）生产设备</w:t>
      </w:r>
      <w:r>
        <w:rPr>
          <w:rFonts w:hint="eastAsia" w:ascii="宋体" w:hAnsi="宋体" w:eastAsia="宋体" w:cs="宋体"/>
          <w:bCs/>
          <w:sz w:val="24"/>
          <w:szCs w:val="24"/>
        </w:rPr>
        <w:t>和检验与试验装置</w:t>
      </w:r>
      <w:r>
        <w:rPr>
          <w:rFonts w:hint="eastAsia" w:ascii="宋体" w:hAnsi="宋体" w:eastAsia="宋体" w:cs="宋体"/>
          <w:sz w:val="24"/>
          <w:szCs w:val="24"/>
        </w:rPr>
        <w:t>档案管理，包括建立生产设备</w:t>
      </w:r>
      <w:r>
        <w:rPr>
          <w:rFonts w:hint="eastAsia" w:ascii="宋体" w:hAnsi="宋体" w:eastAsia="宋体" w:cs="宋体"/>
          <w:bCs/>
          <w:sz w:val="24"/>
          <w:szCs w:val="24"/>
        </w:rPr>
        <w:t>和检验与试验装置</w:t>
      </w:r>
      <w:r>
        <w:rPr>
          <w:rFonts w:hint="eastAsia" w:ascii="宋体" w:hAnsi="宋体" w:eastAsia="宋体" w:cs="宋体"/>
          <w:sz w:val="24"/>
          <w:szCs w:val="24"/>
        </w:rPr>
        <w:t xml:space="preserve">台帐和档案，质量证明文件、使用说明书、使用记录、维修保养记录以及校准检定计划、校准检定记录、报告等档案资料；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（3）生产设备</w:t>
      </w:r>
      <w:r>
        <w:rPr>
          <w:rFonts w:hint="eastAsia" w:ascii="宋体" w:hAnsi="宋体" w:eastAsia="宋体" w:cs="宋体"/>
          <w:bCs/>
          <w:sz w:val="24"/>
          <w:szCs w:val="24"/>
        </w:rPr>
        <w:t>和检验与试验装置</w:t>
      </w:r>
      <w:r>
        <w:rPr>
          <w:rFonts w:hint="eastAsia" w:ascii="宋体" w:hAnsi="宋体" w:eastAsia="宋体" w:cs="宋体"/>
          <w:sz w:val="24"/>
          <w:szCs w:val="24"/>
        </w:rPr>
        <w:t>状态控制，包括生产设备使用状态标识、检验与试验装置检定校验标识，法定要求检验的生产设备的检验报告等。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C3.12 不合格品（项）控制</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w:t>
      </w:r>
      <w:r>
        <w:rPr>
          <w:rFonts w:hint="eastAsia" w:ascii="宋体" w:hAnsi="宋体" w:eastAsia="宋体" w:cs="宋体"/>
          <w:bCs/>
          <w:sz w:val="24"/>
          <w:szCs w:val="24"/>
        </w:rPr>
        <w:t>不合格品（项）控制</w:t>
      </w:r>
      <w:r>
        <w:rPr>
          <w:rFonts w:hint="eastAsia" w:ascii="宋体" w:hAnsi="宋体" w:eastAsia="宋体" w:cs="宋体"/>
          <w:sz w:val="24"/>
          <w:szCs w:val="24"/>
        </w:rPr>
        <w:t>是否包括如下内容：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（1）不合格品（项）的记录、标识、存放、隔离等；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（2）不合格品（项）原因分析、处置及处置后检验等；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（3）不合格品（项）所采取纠正或者预防措施的制定、审核、批准、实施及其跟踪验证等。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C3.13 质量改进与服务</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w:t>
      </w:r>
      <w:r>
        <w:rPr>
          <w:rFonts w:hint="eastAsia" w:ascii="宋体" w:hAnsi="宋体" w:eastAsia="宋体" w:cs="宋体"/>
          <w:bCs/>
          <w:sz w:val="24"/>
          <w:szCs w:val="24"/>
        </w:rPr>
        <w:t>质量改进与服务控制</w:t>
      </w:r>
      <w:r>
        <w:rPr>
          <w:rFonts w:hint="eastAsia" w:ascii="宋体" w:hAnsi="宋体" w:eastAsia="宋体" w:cs="宋体"/>
          <w:sz w:val="24"/>
          <w:szCs w:val="24"/>
        </w:rPr>
        <w:t>应包括如下内容：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（1）质量信息控制，包括内、外部质量信息，市场监督管理部门和监督检验机构提出的质量问题，质量信息收集、汇总、分析、反馈、处理，缺陷召回负责机构设置和职责等；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（2）每年至少进行一次完整的内部质量审核、对审核发现的问题分析原因、采取纠正措施并跟踪验证其有效性等；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（3）对产品一次合格率和返修率进行定期统计、分析、提出具体预防措施等；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（4）客户服务，包括服务计划、实施、验证和报告，以及相关人员的职责等。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C3.14 人员管理</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w:t>
      </w:r>
      <w:r>
        <w:rPr>
          <w:rFonts w:hint="eastAsia" w:ascii="宋体" w:hAnsi="宋体" w:eastAsia="宋体" w:cs="宋体"/>
          <w:bCs/>
          <w:sz w:val="24"/>
          <w:szCs w:val="24"/>
        </w:rPr>
        <w:t>人员管理</w:t>
      </w:r>
      <w:r>
        <w:rPr>
          <w:rFonts w:hint="eastAsia" w:ascii="宋体" w:hAnsi="宋体" w:eastAsia="宋体" w:cs="宋体"/>
          <w:sz w:val="24"/>
          <w:szCs w:val="24"/>
        </w:rPr>
        <w:t>应包括如下内容：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（1）人员培训要求、内容、计划和实施等；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压力容器</w:t>
      </w:r>
      <w:r>
        <w:rPr>
          <w:rFonts w:hint="eastAsia" w:ascii="宋体" w:hAnsi="宋体" w:eastAsia="宋体" w:cs="宋体"/>
          <w:sz w:val="24"/>
          <w:szCs w:val="24"/>
        </w:rPr>
        <w:t xml:space="preserve">制造许可所要求的相关人员的培训、考核档案；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压力容器</w:t>
      </w:r>
      <w:r>
        <w:rPr>
          <w:rFonts w:hint="eastAsia" w:ascii="宋体" w:hAnsi="宋体" w:eastAsia="宋体" w:cs="宋体"/>
          <w:sz w:val="24"/>
          <w:szCs w:val="24"/>
        </w:rPr>
        <w:t xml:space="preserve">制造许可所要求的相关人员的聘用管理。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C3.15 其他特殊过程控制</w:t>
      </w:r>
    </w:p>
    <w:p>
      <w:pPr>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抽查</w:t>
      </w:r>
      <w:r>
        <w:rPr>
          <w:rFonts w:hint="eastAsia" w:ascii="宋体" w:hAnsi="宋体" w:eastAsia="宋体" w:cs="宋体"/>
          <w:bCs/>
          <w:sz w:val="24"/>
          <w:szCs w:val="24"/>
        </w:rPr>
        <w:t>其他特殊过程控制</w:t>
      </w:r>
      <w:r>
        <w:rPr>
          <w:rFonts w:hint="eastAsia" w:ascii="宋体" w:hAnsi="宋体" w:eastAsia="宋体" w:cs="宋体"/>
          <w:sz w:val="24"/>
          <w:szCs w:val="24"/>
        </w:rPr>
        <w:t>是否包括如下内容：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（1）明确对</w:t>
      </w:r>
      <w:r>
        <w:rPr>
          <w:rFonts w:hint="eastAsia" w:ascii="宋体" w:hAnsi="宋体" w:eastAsia="宋体" w:cs="宋体"/>
          <w:sz w:val="24"/>
          <w:szCs w:val="24"/>
          <w:lang w:eastAsia="zh-CN"/>
        </w:rPr>
        <w:t>压力容器</w:t>
      </w:r>
      <w:r>
        <w:rPr>
          <w:rFonts w:hint="eastAsia" w:ascii="宋体" w:hAnsi="宋体" w:eastAsia="宋体" w:cs="宋体"/>
          <w:bCs/>
          <w:sz w:val="24"/>
          <w:szCs w:val="24"/>
        </w:rPr>
        <w:t>产品安全性能的制造保证能力</w:t>
      </w:r>
      <w:r>
        <w:rPr>
          <w:rFonts w:hint="eastAsia" w:ascii="宋体" w:hAnsi="宋体" w:eastAsia="宋体" w:cs="宋体"/>
          <w:sz w:val="24"/>
          <w:szCs w:val="24"/>
        </w:rPr>
        <w:t xml:space="preserve">有重要影响的其他过程；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（2）任命其他过程控制责任人员，明确其职责、权限；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（3）对其他过程实施控制的相关规定，包括特殊控制要求、过程记录。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C3.16 执行特种设备许可制度</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抽查执行特种设备许可制度是否包括如下内容：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（1）执行特种设备许可制度；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（2）接受各级特种设备安全监管部门的监督；</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接受监督检验，包括法规、安全技术规范对特种设备制造、安装、改造、修理实施监督检验的要求时，制定接受特种设备监督检验的规定，明确专人负责与监督检验人员的工作联系，提供监督检验工作的条件，对监督检验机构提出的《监检工作联络单》、《监检意见通知书》的处理内容等；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特种设备许可证管理，包括遵守相关法律法规和安全技术规范的规定、特种设备许可情况（如名称、地点、质量保证体系）发生变更、变化时，及时办理变更申请和备案的规定，特种设备许可证及许可标志使用管理的规定，特种设备许可证换证要求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（5）提供相关信息，包括按照法规、安全技术规范以及信息化工作要求，向市场监督管理部门、检验机构和社会提供生产过程的相关信息，以及机构设置、人员配备和设备设施的情况等。</w:t>
      </w:r>
    </w:p>
    <w:p>
      <w:pPr>
        <w:adjustRightInd w:val="0"/>
        <w:spacing w:line="360" w:lineRule="auto"/>
        <w:ind w:firstLine="480" w:firstLineChars="200"/>
        <w:rPr>
          <w:rFonts w:hint="eastAsia" w:ascii="宋体" w:hAnsi="宋体" w:cs="黑体"/>
          <w:b/>
          <w:sz w:val="24"/>
        </w:rPr>
      </w:pPr>
      <w:r>
        <w:rPr>
          <w:rFonts w:hint="eastAsia" w:ascii="宋体" w:hAnsi="宋体" w:eastAsia="宋体" w:cs="宋体"/>
          <w:sz w:val="24"/>
          <w:szCs w:val="24"/>
        </w:rPr>
        <w:t>执行特种设备许可制度情况，由质量保证工程师进行监督检查，对市场监督管理部门监督检查提出的意见、监督检验机构提出的《监检意见通知书》，提出处理意见，并且对处理结果审查确认，作出记录。</w:t>
      </w:r>
    </w:p>
    <w:sectPr>
      <w:footerReference r:id="rId7" w:type="default"/>
      <w:pgSz w:w="11906" w:h="16838"/>
      <w:pgMar w:top="1304" w:right="1134" w:bottom="1020" w:left="1588" w:header="851" w:footer="992" w:gutter="0"/>
      <w:pgNumType w:fmt="numberInDash"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jc w:val="right"/>
      <w:rPr>
        <w:rFonts w:hAnsi="宋体"/>
        <w:sz w:val="18"/>
        <w:szCs w:val="18"/>
      </w:rPr>
    </w:pPr>
    <w:r>
      <w:pict>
        <v:line id="_x0000_s3089" o:spid="_x0000_s3089" o:spt="20" style="position:absolute;left:0pt;margin-left:0pt;margin-top:11.9pt;height:0pt;width:459pt;z-index:251660288;mso-width-relative:page;mso-height-relative:page;" coordsize="21600,21600">
          <v:path arrowok="t"/>
          <v:fill focussize="0,0"/>
          <v:stroke/>
          <v:imagedata o:title=""/>
          <o:lock v:ext="edit"/>
        </v:line>
      </w:pict>
    </w:r>
  </w:p>
  <w:p>
    <w:pPr>
      <w:pStyle w:val="11"/>
      <w:rPr>
        <w:rFonts w:ascii="宋体" w:hAnsi="宋体"/>
        <w:u w:val="single"/>
      </w:rPr>
    </w:pPr>
    <w:r>
      <w:rPr>
        <w:rFonts w:hint="eastAsia" w:ascii="宋体" w:hAnsi="宋体"/>
      </w:rPr>
      <w:t xml:space="preserve">2022年12月10日发布                           </w:t>
    </w:r>
    <w:r>
      <w:rPr>
        <w:rFonts w:hint="eastAsia" w:ascii="宋体" w:hAnsi="宋体"/>
        <w:lang w:val="en-US" w:eastAsia="zh-CN"/>
      </w:rPr>
      <w:t xml:space="preserve">     </w:t>
    </w:r>
    <w:r>
      <w:rPr>
        <w:rFonts w:hint="eastAsia" w:ascii="宋体" w:hAnsi="宋体"/>
      </w:rPr>
      <w:t xml:space="preserve">                            2023年01月01日实施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jc w:val="right"/>
      <w:rPr>
        <w:rFonts w:hAnsi="宋体"/>
        <w:sz w:val="18"/>
        <w:szCs w:val="18"/>
      </w:rPr>
    </w:pPr>
    <w:r>
      <w:pict>
        <v:shape id="_x0000_s3093" o:spid="_x0000_s3093" o:spt="202" type="#_x0000_t202" style="position:absolute;left:0pt;margin-top:16pt;height:12pt;width:30pt;mso-position-horizontal:center;mso-position-horizontal-relative:margin;z-index:251662336;mso-width-relative:page;mso-height-relative:page;" filled="f" stroked="f" coordsize="21600,21600">
          <v:path/>
          <v:fill on="f" focussize="0,0"/>
          <v:stroke on="f"/>
          <v:imagedata o:title=""/>
          <o:lock v:ext="edit" aspectratio="f"/>
          <v:textbox inset="0mm,0mm,0mm,0mm" style="mso-fit-shape-to-text:t;">
            <w:txbxContent>
              <w:p>
                <w:pPr>
                  <w:pStyle w:val="11"/>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r>
      <w:pict>
        <v:line id="_x0000_s3094" o:spid="_x0000_s3094" o:spt="20" style="position:absolute;left:0pt;margin-left:0pt;margin-top:11.9pt;height:0pt;width:459pt;z-index:251661312;mso-width-relative:page;mso-height-relative:page;" coordsize="21600,21600">
          <v:path arrowok="t"/>
          <v:fill focussize="0,0"/>
          <v:stroke/>
          <v:imagedata o:title=""/>
          <o:lock v:ext="edit"/>
        </v:line>
      </w:pict>
    </w:r>
  </w:p>
  <w:p>
    <w:pPr>
      <w:pStyle w:val="11"/>
      <w:rPr>
        <w:rFonts w:ascii="宋体" w:hAnsi="宋体"/>
        <w:u w:val="single"/>
      </w:rPr>
    </w:pPr>
    <w:r>
      <w:rPr>
        <w:rFonts w:hint="eastAsia" w:ascii="宋体" w:hAnsi="宋体"/>
      </w:rPr>
      <w:t xml:space="preserve">2022年12月10日发布                           </w:t>
    </w:r>
    <w:r>
      <w:rPr>
        <w:rFonts w:hint="eastAsia" w:ascii="宋体" w:hAnsi="宋体"/>
        <w:lang w:val="en-US" w:eastAsia="zh-CN"/>
      </w:rPr>
      <w:t xml:space="preserve">     </w:t>
    </w:r>
    <w:r>
      <w:rPr>
        <w:rFonts w:hint="eastAsia" w:ascii="宋体" w:hAnsi="宋体"/>
      </w:rPr>
      <w:t xml:space="preserve">                            2023年01月01日实施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rPr>
        <w:rFonts w:hint="default" w:hAnsi="宋体" w:eastAsia="宋体"/>
        <w:sz w:val="18"/>
        <w:szCs w:val="18"/>
        <w:lang w:val="en-US" w:eastAsia="zh-CN"/>
      </w:rPr>
    </w:pPr>
    <w:r>
      <w:rPr>
        <w:rFonts w:hAnsi="宋体"/>
        <w:sz w:val="18"/>
        <w:szCs w:val="18"/>
      </w:rPr>
      <w:pict>
        <v:line id="直线 1029" o:spid="_x0000_s3084" o:spt="20" style="position:absolute;left:0pt;margin-left:0pt;margin-top:21.85pt;height:0pt;width:459pt;z-index:251659264;mso-width-relative:page;mso-height-relative:page;" coordsize="21600,21600">
          <v:path arrowok="t"/>
          <v:fill focussize="0,0"/>
          <v:stroke/>
          <v:imagedata o:title=""/>
          <o:lock v:ext="edit"/>
        </v:line>
      </w:pict>
    </w:r>
    <w:r>
      <w:rPr>
        <w:rFonts w:hint="eastAsia" w:hAnsi="宋体"/>
        <w:sz w:val="18"/>
        <w:szCs w:val="18"/>
      </w:rPr>
      <w:t>XT</w:t>
    </w:r>
    <w:r>
      <w:rPr>
        <w:rFonts w:hint="eastAsia" w:hAnsi="宋体"/>
        <w:sz w:val="18"/>
        <w:szCs w:val="18"/>
        <w:lang w:val="en-US" w:eastAsia="zh-CN"/>
      </w:rPr>
      <w:t>X</w:t>
    </w:r>
    <w:r>
      <w:rPr>
        <w:rFonts w:hint="eastAsia" w:hAnsi="宋体"/>
        <w:sz w:val="18"/>
        <w:szCs w:val="18"/>
      </w:rPr>
      <w:t>PS/ZN-</w:t>
    </w:r>
    <w:r>
      <w:rPr>
        <w:rFonts w:hint="eastAsia" w:hAnsi="宋体"/>
        <w:sz w:val="18"/>
        <w:szCs w:val="18"/>
        <w:lang w:val="en-US" w:eastAsia="zh-CN"/>
      </w:rPr>
      <w:t>RQZ</w:t>
    </w:r>
    <w:r>
      <w:rPr>
        <w:rFonts w:hint="eastAsia" w:hAnsi="宋体"/>
        <w:sz w:val="18"/>
        <w:szCs w:val="18"/>
      </w:rPr>
      <w:t xml:space="preserve">-2022                                </w:t>
    </w:r>
    <w:r>
      <w:rPr>
        <w:rFonts w:ascii="华文行楷" w:eastAsia="华文行楷"/>
        <w:sz w:val="21"/>
      </w:rPr>
      <w:drawing>
        <wp:inline distT="0" distB="0" distL="0" distR="0">
          <wp:extent cx="234315" cy="212090"/>
          <wp:effectExtent l="0" t="0" r="9525" b="1270"/>
          <wp:docPr id="1" name="图片 1"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57a49cace232bfda4816bfeee5ff"/>
                  <pic:cNvPicPr>
                    <a:picLocks noChangeAspect="1" noChangeArrowheads="1"/>
                  </pic:cNvPicPr>
                </pic:nvPicPr>
                <pic:blipFill>
                  <a:blip r:embed="rId1"/>
                  <a:srcRect/>
                  <a:stretch>
                    <a:fillRect/>
                  </a:stretch>
                </pic:blipFill>
                <pic:spPr>
                  <a:xfrm>
                    <a:off x="0" y="0"/>
                    <a:ext cx="234315" cy="212090"/>
                  </a:xfrm>
                  <a:prstGeom prst="rect">
                    <a:avLst/>
                  </a:prstGeom>
                  <a:noFill/>
                  <a:ln w="9525">
                    <a:noFill/>
                    <a:miter lim="800000"/>
                    <a:headEnd/>
                    <a:tailEnd/>
                  </a:ln>
                </pic:spPr>
              </pic:pic>
            </a:graphicData>
          </a:graphic>
        </wp:inline>
      </w:drawing>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Style w:val="19"/>
        <w:rFonts w:hint="eastAsia" w:hAnsi="宋体" w:cs="宋体"/>
        <w:bCs/>
        <w:sz w:val="18"/>
        <w:szCs w:val="18"/>
        <w:lang w:val="en-US" w:eastAsia="zh-CN"/>
      </w:rPr>
      <w:t>专用指南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BF9"/>
    <w:rsid w:val="00061D52"/>
    <w:rsid w:val="00062110"/>
    <w:rsid w:val="000653DE"/>
    <w:rsid w:val="0006591C"/>
    <w:rsid w:val="00066AFD"/>
    <w:rsid w:val="000702CC"/>
    <w:rsid w:val="0007043F"/>
    <w:rsid w:val="0007167B"/>
    <w:rsid w:val="00071E6F"/>
    <w:rsid w:val="000722D7"/>
    <w:rsid w:val="00072D18"/>
    <w:rsid w:val="00072DEB"/>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7E10"/>
    <w:rsid w:val="000A14FB"/>
    <w:rsid w:val="000A202E"/>
    <w:rsid w:val="000A2146"/>
    <w:rsid w:val="000A3AA5"/>
    <w:rsid w:val="000A4EE5"/>
    <w:rsid w:val="000A5D84"/>
    <w:rsid w:val="000A61A3"/>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2182"/>
    <w:rsid w:val="00214AEF"/>
    <w:rsid w:val="00214EA3"/>
    <w:rsid w:val="00215152"/>
    <w:rsid w:val="00216043"/>
    <w:rsid w:val="00217A0B"/>
    <w:rsid w:val="00220E10"/>
    <w:rsid w:val="0022210B"/>
    <w:rsid w:val="00222153"/>
    <w:rsid w:val="0022216B"/>
    <w:rsid w:val="00222338"/>
    <w:rsid w:val="00222E0F"/>
    <w:rsid w:val="0022326E"/>
    <w:rsid w:val="00223306"/>
    <w:rsid w:val="00223555"/>
    <w:rsid w:val="0022434B"/>
    <w:rsid w:val="002249F6"/>
    <w:rsid w:val="00224D96"/>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5CF"/>
    <w:rsid w:val="0024187B"/>
    <w:rsid w:val="00241F0C"/>
    <w:rsid w:val="002433FE"/>
    <w:rsid w:val="0024353E"/>
    <w:rsid w:val="002464C8"/>
    <w:rsid w:val="002478A1"/>
    <w:rsid w:val="00250331"/>
    <w:rsid w:val="002510AF"/>
    <w:rsid w:val="00251379"/>
    <w:rsid w:val="00252AD7"/>
    <w:rsid w:val="0025496C"/>
    <w:rsid w:val="00254C9B"/>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1DC4"/>
    <w:rsid w:val="00292FC2"/>
    <w:rsid w:val="00295297"/>
    <w:rsid w:val="002958F2"/>
    <w:rsid w:val="00295C4E"/>
    <w:rsid w:val="002A192E"/>
    <w:rsid w:val="002A1B8A"/>
    <w:rsid w:val="002A37B0"/>
    <w:rsid w:val="002A3869"/>
    <w:rsid w:val="002A4B74"/>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D08"/>
    <w:rsid w:val="002C65BB"/>
    <w:rsid w:val="002D1221"/>
    <w:rsid w:val="002D2552"/>
    <w:rsid w:val="002D2B92"/>
    <w:rsid w:val="002D3934"/>
    <w:rsid w:val="002D3D06"/>
    <w:rsid w:val="002D43AB"/>
    <w:rsid w:val="002D64F0"/>
    <w:rsid w:val="002D6D51"/>
    <w:rsid w:val="002D7B93"/>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5306"/>
    <w:rsid w:val="00395870"/>
    <w:rsid w:val="00395F84"/>
    <w:rsid w:val="00396C35"/>
    <w:rsid w:val="003A172C"/>
    <w:rsid w:val="003A2626"/>
    <w:rsid w:val="003A30E1"/>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1361"/>
    <w:rsid w:val="00461A68"/>
    <w:rsid w:val="004636A9"/>
    <w:rsid w:val="00464F97"/>
    <w:rsid w:val="0046771F"/>
    <w:rsid w:val="00472EBA"/>
    <w:rsid w:val="00473289"/>
    <w:rsid w:val="00474298"/>
    <w:rsid w:val="00474488"/>
    <w:rsid w:val="0047586A"/>
    <w:rsid w:val="00475D36"/>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8DA"/>
    <w:rsid w:val="00512FCB"/>
    <w:rsid w:val="00520D6E"/>
    <w:rsid w:val="0052378F"/>
    <w:rsid w:val="00523A20"/>
    <w:rsid w:val="00524540"/>
    <w:rsid w:val="00524F0B"/>
    <w:rsid w:val="005257FA"/>
    <w:rsid w:val="00530232"/>
    <w:rsid w:val="0053254E"/>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8ED"/>
    <w:rsid w:val="00551338"/>
    <w:rsid w:val="00551BD9"/>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45DB"/>
    <w:rsid w:val="005D6EA3"/>
    <w:rsid w:val="005E0BFB"/>
    <w:rsid w:val="005E1ED3"/>
    <w:rsid w:val="005E23A6"/>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71B1"/>
    <w:rsid w:val="00677B0E"/>
    <w:rsid w:val="0068035E"/>
    <w:rsid w:val="00680592"/>
    <w:rsid w:val="006808CD"/>
    <w:rsid w:val="00680CA7"/>
    <w:rsid w:val="0068127E"/>
    <w:rsid w:val="006818C9"/>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705C"/>
    <w:rsid w:val="006E1BE2"/>
    <w:rsid w:val="006E1D48"/>
    <w:rsid w:val="006E2382"/>
    <w:rsid w:val="006E4CAC"/>
    <w:rsid w:val="006E59D6"/>
    <w:rsid w:val="006E5EE8"/>
    <w:rsid w:val="006E6AAF"/>
    <w:rsid w:val="006E6BBB"/>
    <w:rsid w:val="006F05E0"/>
    <w:rsid w:val="006F1370"/>
    <w:rsid w:val="006F1501"/>
    <w:rsid w:val="006F223A"/>
    <w:rsid w:val="006F2939"/>
    <w:rsid w:val="006F3820"/>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615"/>
    <w:rsid w:val="00765A35"/>
    <w:rsid w:val="00765FBA"/>
    <w:rsid w:val="00766219"/>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172C"/>
    <w:rsid w:val="007E37A6"/>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306E"/>
    <w:rsid w:val="008D3E2C"/>
    <w:rsid w:val="008D4AC1"/>
    <w:rsid w:val="008D6B59"/>
    <w:rsid w:val="008D6F58"/>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5349"/>
    <w:rsid w:val="00966842"/>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A8A"/>
    <w:rsid w:val="00A64E07"/>
    <w:rsid w:val="00A65FEF"/>
    <w:rsid w:val="00A67249"/>
    <w:rsid w:val="00A67806"/>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791"/>
    <w:rsid w:val="00B22891"/>
    <w:rsid w:val="00B23216"/>
    <w:rsid w:val="00B24866"/>
    <w:rsid w:val="00B24C82"/>
    <w:rsid w:val="00B30F08"/>
    <w:rsid w:val="00B325B5"/>
    <w:rsid w:val="00B32A43"/>
    <w:rsid w:val="00B33A61"/>
    <w:rsid w:val="00B33B3F"/>
    <w:rsid w:val="00B33FCD"/>
    <w:rsid w:val="00B340D6"/>
    <w:rsid w:val="00B36138"/>
    <w:rsid w:val="00B36ECC"/>
    <w:rsid w:val="00B3732D"/>
    <w:rsid w:val="00B37C9D"/>
    <w:rsid w:val="00B40CEC"/>
    <w:rsid w:val="00B41D82"/>
    <w:rsid w:val="00B453CB"/>
    <w:rsid w:val="00B45400"/>
    <w:rsid w:val="00B45954"/>
    <w:rsid w:val="00B45FA6"/>
    <w:rsid w:val="00B46490"/>
    <w:rsid w:val="00B465C0"/>
    <w:rsid w:val="00B47534"/>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691E"/>
    <w:rsid w:val="00B87564"/>
    <w:rsid w:val="00B875A5"/>
    <w:rsid w:val="00B879C7"/>
    <w:rsid w:val="00B87FCC"/>
    <w:rsid w:val="00B91C67"/>
    <w:rsid w:val="00B923C9"/>
    <w:rsid w:val="00B929E1"/>
    <w:rsid w:val="00B92EA8"/>
    <w:rsid w:val="00B939B5"/>
    <w:rsid w:val="00B93E9F"/>
    <w:rsid w:val="00B940C7"/>
    <w:rsid w:val="00B95E3F"/>
    <w:rsid w:val="00B96241"/>
    <w:rsid w:val="00B96D52"/>
    <w:rsid w:val="00BA0440"/>
    <w:rsid w:val="00BA0CB6"/>
    <w:rsid w:val="00BA0DD5"/>
    <w:rsid w:val="00BA1BE8"/>
    <w:rsid w:val="00BA233B"/>
    <w:rsid w:val="00BA3B17"/>
    <w:rsid w:val="00BA3EEF"/>
    <w:rsid w:val="00BA66AC"/>
    <w:rsid w:val="00BA7FA0"/>
    <w:rsid w:val="00BB1C21"/>
    <w:rsid w:val="00BB5B65"/>
    <w:rsid w:val="00BC2267"/>
    <w:rsid w:val="00BC32FA"/>
    <w:rsid w:val="00BC330C"/>
    <w:rsid w:val="00BC36F2"/>
    <w:rsid w:val="00BC3A00"/>
    <w:rsid w:val="00BC6611"/>
    <w:rsid w:val="00BC6CB2"/>
    <w:rsid w:val="00BC7909"/>
    <w:rsid w:val="00BD000B"/>
    <w:rsid w:val="00BD0593"/>
    <w:rsid w:val="00BD3FB2"/>
    <w:rsid w:val="00BD4080"/>
    <w:rsid w:val="00BD43DD"/>
    <w:rsid w:val="00BD492C"/>
    <w:rsid w:val="00BD668D"/>
    <w:rsid w:val="00BD6F45"/>
    <w:rsid w:val="00BD71EC"/>
    <w:rsid w:val="00BD79B9"/>
    <w:rsid w:val="00BE2760"/>
    <w:rsid w:val="00BE2929"/>
    <w:rsid w:val="00BE47D4"/>
    <w:rsid w:val="00BE47FE"/>
    <w:rsid w:val="00BE67E4"/>
    <w:rsid w:val="00BE6DE0"/>
    <w:rsid w:val="00BF03F7"/>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3A"/>
    <w:rsid w:val="00C64826"/>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B1CC8"/>
    <w:rsid w:val="00CB2A16"/>
    <w:rsid w:val="00CB2F0F"/>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25E0"/>
    <w:rsid w:val="00CD2762"/>
    <w:rsid w:val="00CD31AB"/>
    <w:rsid w:val="00CD5A25"/>
    <w:rsid w:val="00CD6B17"/>
    <w:rsid w:val="00CD7797"/>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9CE"/>
    <w:rsid w:val="00D01832"/>
    <w:rsid w:val="00D01DDC"/>
    <w:rsid w:val="00D038C4"/>
    <w:rsid w:val="00D0494A"/>
    <w:rsid w:val="00D04FE9"/>
    <w:rsid w:val="00D05274"/>
    <w:rsid w:val="00D06125"/>
    <w:rsid w:val="00D11F79"/>
    <w:rsid w:val="00D12D2A"/>
    <w:rsid w:val="00D1364A"/>
    <w:rsid w:val="00D1647C"/>
    <w:rsid w:val="00D16BA1"/>
    <w:rsid w:val="00D16E90"/>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61E00"/>
    <w:rsid w:val="00D621FE"/>
    <w:rsid w:val="00D631F1"/>
    <w:rsid w:val="00D639DB"/>
    <w:rsid w:val="00D65273"/>
    <w:rsid w:val="00D6775C"/>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6C4F"/>
    <w:rsid w:val="00E3097A"/>
    <w:rsid w:val="00E30D89"/>
    <w:rsid w:val="00E3117C"/>
    <w:rsid w:val="00E31180"/>
    <w:rsid w:val="00E31D65"/>
    <w:rsid w:val="00E3397A"/>
    <w:rsid w:val="00E339DE"/>
    <w:rsid w:val="00E346D9"/>
    <w:rsid w:val="00E34A58"/>
    <w:rsid w:val="00E3673F"/>
    <w:rsid w:val="00E3703B"/>
    <w:rsid w:val="00E41345"/>
    <w:rsid w:val="00E4668A"/>
    <w:rsid w:val="00E50660"/>
    <w:rsid w:val="00E5286F"/>
    <w:rsid w:val="00E52A1A"/>
    <w:rsid w:val="00E52E66"/>
    <w:rsid w:val="00E53B98"/>
    <w:rsid w:val="00E57EEB"/>
    <w:rsid w:val="00E60862"/>
    <w:rsid w:val="00E6089A"/>
    <w:rsid w:val="00E61518"/>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FB1"/>
    <w:rsid w:val="00ED7C6F"/>
    <w:rsid w:val="00EE0F1B"/>
    <w:rsid w:val="00EE1472"/>
    <w:rsid w:val="00EE17C2"/>
    <w:rsid w:val="00EE1956"/>
    <w:rsid w:val="00EE23BB"/>
    <w:rsid w:val="00EE3362"/>
    <w:rsid w:val="00EE41E9"/>
    <w:rsid w:val="00EE4B03"/>
    <w:rsid w:val="00EE67B7"/>
    <w:rsid w:val="00EE7634"/>
    <w:rsid w:val="00EE7D2D"/>
    <w:rsid w:val="00EE7E8A"/>
    <w:rsid w:val="00EF1807"/>
    <w:rsid w:val="00EF2AF7"/>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4210"/>
    <w:rsid w:val="00FC2960"/>
    <w:rsid w:val="00FC3B98"/>
    <w:rsid w:val="00FC464C"/>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B647F2"/>
    <w:rsid w:val="01D31DFC"/>
    <w:rsid w:val="01E445CE"/>
    <w:rsid w:val="01F45076"/>
    <w:rsid w:val="01F91A6E"/>
    <w:rsid w:val="020725C5"/>
    <w:rsid w:val="022910C8"/>
    <w:rsid w:val="02322BAC"/>
    <w:rsid w:val="02454D54"/>
    <w:rsid w:val="028415F1"/>
    <w:rsid w:val="028A1474"/>
    <w:rsid w:val="029C36B3"/>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D2DF9"/>
    <w:rsid w:val="052F3D26"/>
    <w:rsid w:val="05356F5A"/>
    <w:rsid w:val="05366E15"/>
    <w:rsid w:val="05527DB0"/>
    <w:rsid w:val="05564AC3"/>
    <w:rsid w:val="05643544"/>
    <w:rsid w:val="056B6E84"/>
    <w:rsid w:val="056D08A4"/>
    <w:rsid w:val="057C755A"/>
    <w:rsid w:val="05CF0AB2"/>
    <w:rsid w:val="05D9283D"/>
    <w:rsid w:val="05DF3FF2"/>
    <w:rsid w:val="05E80F2C"/>
    <w:rsid w:val="05F46BEC"/>
    <w:rsid w:val="060D0289"/>
    <w:rsid w:val="062007A1"/>
    <w:rsid w:val="064A25AA"/>
    <w:rsid w:val="065F2B1E"/>
    <w:rsid w:val="066527AE"/>
    <w:rsid w:val="06673F9A"/>
    <w:rsid w:val="069046C8"/>
    <w:rsid w:val="069C6C57"/>
    <w:rsid w:val="06AD7702"/>
    <w:rsid w:val="06BC54D2"/>
    <w:rsid w:val="06CC4263"/>
    <w:rsid w:val="06DA12D1"/>
    <w:rsid w:val="06F705C6"/>
    <w:rsid w:val="06FD084E"/>
    <w:rsid w:val="07005256"/>
    <w:rsid w:val="070833D4"/>
    <w:rsid w:val="07205FDA"/>
    <w:rsid w:val="072A32A5"/>
    <w:rsid w:val="07415076"/>
    <w:rsid w:val="07456585"/>
    <w:rsid w:val="07820722"/>
    <w:rsid w:val="07B85608"/>
    <w:rsid w:val="07C93C74"/>
    <w:rsid w:val="07E152BF"/>
    <w:rsid w:val="07EF6E68"/>
    <w:rsid w:val="07FC31A3"/>
    <w:rsid w:val="08192E31"/>
    <w:rsid w:val="085A51F1"/>
    <w:rsid w:val="0867416F"/>
    <w:rsid w:val="089C79E3"/>
    <w:rsid w:val="08BD06C6"/>
    <w:rsid w:val="08C15D2C"/>
    <w:rsid w:val="08D42713"/>
    <w:rsid w:val="08D65A4F"/>
    <w:rsid w:val="08D6701D"/>
    <w:rsid w:val="08F024D3"/>
    <w:rsid w:val="09064FBB"/>
    <w:rsid w:val="09190D62"/>
    <w:rsid w:val="09214029"/>
    <w:rsid w:val="09475E50"/>
    <w:rsid w:val="09653FBD"/>
    <w:rsid w:val="099076BA"/>
    <w:rsid w:val="09E74CB3"/>
    <w:rsid w:val="09EB370C"/>
    <w:rsid w:val="09F40745"/>
    <w:rsid w:val="0A000593"/>
    <w:rsid w:val="0A07468E"/>
    <w:rsid w:val="0A0F4CAB"/>
    <w:rsid w:val="0A333F43"/>
    <w:rsid w:val="0A5F02DC"/>
    <w:rsid w:val="0A722405"/>
    <w:rsid w:val="0A86242B"/>
    <w:rsid w:val="0AAB63D9"/>
    <w:rsid w:val="0AAE1D84"/>
    <w:rsid w:val="0AF3441A"/>
    <w:rsid w:val="0AFB43CE"/>
    <w:rsid w:val="0AFB77C3"/>
    <w:rsid w:val="0B0861C1"/>
    <w:rsid w:val="0B25555B"/>
    <w:rsid w:val="0B301DB6"/>
    <w:rsid w:val="0B5657C7"/>
    <w:rsid w:val="0B6837A0"/>
    <w:rsid w:val="0B7078E0"/>
    <w:rsid w:val="0B876A6B"/>
    <w:rsid w:val="0B8E095D"/>
    <w:rsid w:val="0BA01E8A"/>
    <w:rsid w:val="0BDE5511"/>
    <w:rsid w:val="0BF13340"/>
    <w:rsid w:val="0C0710D3"/>
    <w:rsid w:val="0C0B1E69"/>
    <w:rsid w:val="0C363673"/>
    <w:rsid w:val="0C434CD5"/>
    <w:rsid w:val="0C7B17F2"/>
    <w:rsid w:val="0C985AFF"/>
    <w:rsid w:val="0CAB5979"/>
    <w:rsid w:val="0D334F58"/>
    <w:rsid w:val="0D3F525D"/>
    <w:rsid w:val="0D422E5F"/>
    <w:rsid w:val="0D606BBE"/>
    <w:rsid w:val="0D711657"/>
    <w:rsid w:val="0D926941"/>
    <w:rsid w:val="0D95434C"/>
    <w:rsid w:val="0D990B70"/>
    <w:rsid w:val="0DCA798F"/>
    <w:rsid w:val="0DE03E72"/>
    <w:rsid w:val="0DE272C5"/>
    <w:rsid w:val="0E2D3048"/>
    <w:rsid w:val="0E9A7F8D"/>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100F6ABC"/>
    <w:rsid w:val="10215008"/>
    <w:rsid w:val="103C513D"/>
    <w:rsid w:val="105570E6"/>
    <w:rsid w:val="106A4C1B"/>
    <w:rsid w:val="10BD03C9"/>
    <w:rsid w:val="10DC7FFA"/>
    <w:rsid w:val="10DF009D"/>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EA7601"/>
    <w:rsid w:val="13137A0F"/>
    <w:rsid w:val="13183C1B"/>
    <w:rsid w:val="132655A2"/>
    <w:rsid w:val="13395257"/>
    <w:rsid w:val="13697CF4"/>
    <w:rsid w:val="136B1A6E"/>
    <w:rsid w:val="137A6109"/>
    <w:rsid w:val="137F0BC4"/>
    <w:rsid w:val="13A21F73"/>
    <w:rsid w:val="13A56489"/>
    <w:rsid w:val="13C06F2A"/>
    <w:rsid w:val="13C07441"/>
    <w:rsid w:val="13D56ED2"/>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B9248A"/>
    <w:rsid w:val="17BA679D"/>
    <w:rsid w:val="17CC3EA2"/>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B33AC"/>
    <w:rsid w:val="19686977"/>
    <w:rsid w:val="199B5CBF"/>
    <w:rsid w:val="19A81389"/>
    <w:rsid w:val="19F224DC"/>
    <w:rsid w:val="19F72E16"/>
    <w:rsid w:val="1A1C31EA"/>
    <w:rsid w:val="1A2657AB"/>
    <w:rsid w:val="1A934D0C"/>
    <w:rsid w:val="1A9E2575"/>
    <w:rsid w:val="1AB4701E"/>
    <w:rsid w:val="1AB86F56"/>
    <w:rsid w:val="1ACB622F"/>
    <w:rsid w:val="1AD54BCF"/>
    <w:rsid w:val="1AD84BD1"/>
    <w:rsid w:val="1B035160"/>
    <w:rsid w:val="1B2A119F"/>
    <w:rsid w:val="1B3B19FF"/>
    <w:rsid w:val="1B432250"/>
    <w:rsid w:val="1B59065F"/>
    <w:rsid w:val="1B787772"/>
    <w:rsid w:val="1B856E8E"/>
    <w:rsid w:val="1B9265DE"/>
    <w:rsid w:val="1B9853E0"/>
    <w:rsid w:val="1BA33DCF"/>
    <w:rsid w:val="1BCA4C67"/>
    <w:rsid w:val="1BD6094D"/>
    <w:rsid w:val="1BFE2694"/>
    <w:rsid w:val="1C1074FA"/>
    <w:rsid w:val="1C460FFD"/>
    <w:rsid w:val="1C6E5335"/>
    <w:rsid w:val="1C75793A"/>
    <w:rsid w:val="1C897457"/>
    <w:rsid w:val="1CCC1732"/>
    <w:rsid w:val="1CD35F37"/>
    <w:rsid w:val="1CE842A8"/>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3E58A8"/>
    <w:rsid w:val="1E43267C"/>
    <w:rsid w:val="1E475196"/>
    <w:rsid w:val="1E49276A"/>
    <w:rsid w:val="1E543AA9"/>
    <w:rsid w:val="1E855CB4"/>
    <w:rsid w:val="1E99125A"/>
    <w:rsid w:val="1EA071D0"/>
    <w:rsid w:val="1EB905D0"/>
    <w:rsid w:val="1EF5107E"/>
    <w:rsid w:val="1F263E7B"/>
    <w:rsid w:val="1F956CA6"/>
    <w:rsid w:val="1FAF5128"/>
    <w:rsid w:val="1FC96552"/>
    <w:rsid w:val="1FEF4F51"/>
    <w:rsid w:val="20185BC1"/>
    <w:rsid w:val="20193E72"/>
    <w:rsid w:val="205F55A5"/>
    <w:rsid w:val="206741A5"/>
    <w:rsid w:val="20675420"/>
    <w:rsid w:val="20A0374D"/>
    <w:rsid w:val="20BB101A"/>
    <w:rsid w:val="20C64DCF"/>
    <w:rsid w:val="20F55AAF"/>
    <w:rsid w:val="21346676"/>
    <w:rsid w:val="21353AC5"/>
    <w:rsid w:val="21645A5D"/>
    <w:rsid w:val="218A28C1"/>
    <w:rsid w:val="21A11346"/>
    <w:rsid w:val="21BE7BEB"/>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4462A8"/>
    <w:rsid w:val="23476D89"/>
    <w:rsid w:val="234F1E39"/>
    <w:rsid w:val="23507F43"/>
    <w:rsid w:val="235B2B6D"/>
    <w:rsid w:val="236F16A6"/>
    <w:rsid w:val="238A654B"/>
    <w:rsid w:val="239141EA"/>
    <w:rsid w:val="23931FA1"/>
    <w:rsid w:val="23A45436"/>
    <w:rsid w:val="23A572A1"/>
    <w:rsid w:val="23B14283"/>
    <w:rsid w:val="23CA1602"/>
    <w:rsid w:val="23CA222A"/>
    <w:rsid w:val="23FB327F"/>
    <w:rsid w:val="2404336C"/>
    <w:rsid w:val="241445CA"/>
    <w:rsid w:val="24340842"/>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805F91"/>
    <w:rsid w:val="258175E8"/>
    <w:rsid w:val="25902E7D"/>
    <w:rsid w:val="25CC417C"/>
    <w:rsid w:val="25CD61D9"/>
    <w:rsid w:val="25D104EA"/>
    <w:rsid w:val="25D921A9"/>
    <w:rsid w:val="25E57453"/>
    <w:rsid w:val="25E70D77"/>
    <w:rsid w:val="25ED79C2"/>
    <w:rsid w:val="25F16D57"/>
    <w:rsid w:val="261A7652"/>
    <w:rsid w:val="26285B3A"/>
    <w:rsid w:val="26351ED3"/>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032B8"/>
    <w:rsid w:val="285E5457"/>
    <w:rsid w:val="286B1201"/>
    <w:rsid w:val="286B4045"/>
    <w:rsid w:val="28C14462"/>
    <w:rsid w:val="28F509FE"/>
    <w:rsid w:val="290A6E57"/>
    <w:rsid w:val="29130F00"/>
    <w:rsid w:val="291A14E9"/>
    <w:rsid w:val="294603EC"/>
    <w:rsid w:val="294A4DD2"/>
    <w:rsid w:val="294C44CD"/>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D76328"/>
    <w:rsid w:val="2AE03960"/>
    <w:rsid w:val="2AEC0DE9"/>
    <w:rsid w:val="2AFD6112"/>
    <w:rsid w:val="2B001928"/>
    <w:rsid w:val="2B077564"/>
    <w:rsid w:val="2B1D20C8"/>
    <w:rsid w:val="2B3157C2"/>
    <w:rsid w:val="2B52676B"/>
    <w:rsid w:val="2B837BCA"/>
    <w:rsid w:val="2BBF4122"/>
    <w:rsid w:val="2BD039E2"/>
    <w:rsid w:val="2BFF6DCA"/>
    <w:rsid w:val="2C1132FB"/>
    <w:rsid w:val="2C1B43B5"/>
    <w:rsid w:val="2C20315F"/>
    <w:rsid w:val="2C237856"/>
    <w:rsid w:val="2C352609"/>
    <w:rsid w:val="2C56080A"/>
    <w:rsid w:val="2C645393"/>
    <w:rsid w:val="2C7439F7"/>
    <w:rsid w:val="2C9420F7"/>
    <w:rsid w:val="2C9B3BC9"/>
    <w:rsid w:val="2CF4608A"/>
    <w:rsid w:val="2D1E069A"/>
    <w:rsid w:val="2D253C18"/>
    <w:rsid w:val="2D31546A"/>
    <w:rsid w:val="2D4F7CC4"/>
    <w:rsid w:val="2D5E717D"/>
    <w:rsid w:val="2D765CB0"/>
    <w:rsid w:val="2DA74888"/>
    <w:rsid w:val="2DB8657A"/>
    <w:rsid w:val="2DCC4ACD"/>
    <w:rsid w:val="2DD512B8"/>
    <w:rsid w:val="2E2864AF"/>
    <w:rsid w:val="2E531C15"/>
    <w:rsid w:val="2E5C65BC"/>
    <w:rsid w:val="2E83337A"/>
    <w:rsid w:val="2EC42041"/>
    <w:rsid w:val="2EC75C56"/>
    <w:rsid w:val="2ED42908"/>
    <w:rsid w:val="2ED454F8"/>
    <w:rsid w:val="2EFF5ACB"/>
    <w:rsid w:val="2F177156"/>
    <w:rsid w:val="2F352CAA"/>
    <w:rsid w:val="2F3B5D84"/>
    <w:rsid w:val="2F4A58F3"/>
    <w:rsid w:val="2F7E5E88"/>
    <w:rsid w:val="2F8D3D9C"/>
    <w:rsid w:val="2F8D7241"/>
    <w:rsid w:val="2FA076A9"/>
    <w:rsid w:val="2FA47C46"/>
    <w:rsid w:val="301A0002"/>
    <w:rsid w:val="30320746"/>
    <w:rsid w:val="3069714F"/>
    <w:rsid w:val="307D78E9"/>
    <w:rsid w:val="30881421"/>
    <w:rsid w:val="308B2D36"/>
    <w:rsid w:val="30A036ED"/>
    <w:rsid w:val="30A642EC"/>
    <w:rsid w:val="30AA26C6"/>
    <w:rsid w:val="30AE4D85"/>
    <w:rsid w:val="31134756"/>
    <w:rsid w:val="311A4F41"/>
    <w:rsid w:val="312967F0"/>
    <w:rsid w:val="31376F08"/>
    <w:rsid w:val="313976E9"/>
    <w:rsid w:val="314503CA"/>
    <w:rsid w:val="31826E30"/>
    <w:rsid w:val="318E5C1C"/>
    <w:rsid w:val="31D22B9D"/>
    <w:rsid w:val="31F15525"/>
    <w:rsid w:val="32192AF6"/>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D2D1F"/>
    <w:rsid w:val="34262707"/>
    <w:rsid w:val="34587F04"/>
    <w:rsid w:val="34844189"/>
    <w:rsid w:val="34857FA3"/>
    <w:rsid w:val="348F254C"/>
    <w:rsid w:val="34A51F47"/>
    <w:rsid w:val="34B4733C"/>
    <w:rsid w:val="34C82375"/>
    <w:rsid w:val="34DC268F"/>
    <w:rsid w:val="34E66EA0"/>
    <w:rsid w:val="34FA2176"/>
    <w:rsid w:val="350E3A8A"/>
    <w:rsid w:val="35184FD1"/>
    <w:rsid w:val="351E2138"/>
    <w:rsid w:val="352E4F36"/>
    <w:rsid w:val="35445297"/>
    <w:rsid w:val="358135A9"/>
    <w:rsid w:val="35965281"/>
    <w:rsid w:val="35A61154"/>
    <w:rsid w:val="35D438A7"/>
    <w:rsid w:val="35E907E7"/>
    <w:rsid w:val="3604521C"/>
    <w:rsid w:val="3612142C"/>
    <w:rsid w:val="36121FD6"/>
    <w:rsid w:val="362B48EF"/>
    <w:rsid w:val="36336B35"/>
    <w:rsid w:val="363C0D18"/>
    <w:rsid w:val="36403694"/>
    <w:rsid w:val="3650042A"/>
    <w:rsid w:val="366652B8"/>
    <w:rsid w:val="366B1F45"/>
    <w:rsid w:val="368C5E8E"/>
    <w:rsid w:val="37085788"/>
    <w:rsid w:val="371F5B55"/>
    <w:rsid w:val="37230AD2"/>
    <w:rsid w:val="373423BB"/>
    <w:rsid w:val="373B59A5"/>
    <w:rsid w:val="373D4C6F"/>
    <w:rsid w:val="37525D06"/>
    <w:rsid w:val="376D0FF4"/>
    <w:rsid w:val="377A26DB"/>
    <w:rsid w:val="379A4EF3"/>
    <w:rsid w:val="37D067A7"/>
    <w:rsid w:val="37F024D9"/>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B0BA9"/>
    <w:rsid w:val="3C670D1B"/>
    <w:rsid w:val="3C947DEF"/>
    <w:rsid w:val="3CAF6FC8"/>
    <w:rsid w:val="3CBA7494"/>
    <w:rsid w:val="3CC23247"/>
    <w:rsid w:val="3CCC2A34"/>
    <w:rsid w:val="3CD030E4"/>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38364E"/>
    <w:rsid w:val="3E6C3837"/>
    <w:rsid w:val="3E746D63"/>
    <w:rsid w:val="3E850AB9"/>
    <w:rsid w:val="3E94148E"/>
    <w:rsid w:val="3EE01280"/>
    <w:rsid w:val="3EF15120"/>
    <w:rsid w:val="3EF51F26"/>
    <w:rsid w:val="3F0A5C35"/>
    <w:rsid w:val="3F23208A"/>
    <w:rsid w:val="3F37197A"/>
    <w:rsid w:val="3F463820"/>
    <w:rsid w:val="3F4C5619"/>
    <w:rsid w:val="3F7F5307"/>
    <w:rsid w:val="3FA36BF9"/>
    <w:rsid w:val="3FC13367"/>
    <w:rsid w:val="40024BC2"/>
    <w:rsid w:val="40122082"/>
    <w:rsid w:val="40240F89"/>
    <w:rsid w:val="40A46B8A"/>
    <w:rsid w:val="40B2295D"/>
    <w:rsid w:val="40B32392"/>
    <w:rsid w:val="40B50E50"/>
    <w:rsid w:val="40E251F4"/>
    <w:rsid w:val="40E535A3"/>
    <w:rsid w:val="40E73ACD"/>
    <w:rsid w:val="41062798"/>
    <w:rsid w:val="412409DB"/>
    <w:rsid w:val="41397D08"/>
    <w:rsid w:val="41520C49"/>
    <w:rsid w:val="41773121"/>
    <w:rsid w:val="417D3DE6"/>
    <w:rsid w:val="41940DDD"/>
    <w:rsid w:val="41A6431C"/>
    <w:rsid w:val="41F35BAC"/>
    <w:rsid w:val="42217B67"/>
    <w:rsid w:val="42310CA7"/>
    <w:rsid w:val="42DD6873"/>
    <w:rsid w:val="430B638F"/>
    <w:rsid w:val="431C5C2D"/>
    <w:rsid w:val="436D047F"/>
    <w:rsid w:val="438748EF"/>
    <w:rsid w:val="43AA6464"/>
    <w:rsid w:val="43FD03FF"/>
    <w:rsid w:val="440006B5"/>
    <w:rsid w:val="440D6D4B"/>
    <w:rsid w:val="44217C83"/>
    <w:rsid w:val="44660EB5"/>
    <w:rsid w:val="446923F7"/>
    <w:rsid w:val="44875711"/>
    <w:rsid w:val="449340C4"/>
    <w:rsid w:val="449F7072"/>
    <w:rsid w:val="44C86AAC"/>
    <w:rsid w:val="44CA242F"/>
    <w:rsid w:val="44CA32F7"/>
    <w:rsid w:val="44DF56E6"/>
    <w:rsid w:val="44F25A59"/>
    <w:rsid w:val="45B90B48"/>
    <w:rsid w:val="46163033"/>
    <w:rsid w:val="46670515"/>
    <w:rsid w:val="467B0332"/>
    <w:rsid w:val="46BB071B"/>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1406F4"/>
    <w:rsid w:val="48220B2A"/>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E7B1F"/>
    <w:rsid w:val="49D4733D"/>
    <w:rsid w:val="49D6306E"/>
    <w:rsid w:val="4A0155A6"/>
    <w:rsid w:val="4A2A5B99"/>
    <w:rsid w:val="4A470778"/>
    <w:rsid w:val="4A684286"/>
    <w:rsid w:val="4AA53C08"/>
    <w:rsid w:val="4AB05B58"/>
    <w:rsid w:val="4AB90546"/>
    <w:rsid w:val="4AE00DC9"/>
    <w:rsid w:val="4AFF6A5E"/>
    <w:rsid w:val="4B411E26"/>
    <w:rsid w:val="4B744C54"/>
    <w:rsid w:val="4B9B6D58"/>
    <w:rsid w:val="4BAB046D"/>
    <w:rsid w:val="4BEB39D1"/>
    <w:rsid w:val="4BEE30E7"/>
    <w:rsid w:val="4BF7491D"/>
    <w:rsid w:val="4BFC0915"/>
    <w:rsid w:val="4C486C01"/>
    <w:rsid w:val="4C5152B7"/>
    <w:rsid w:val="4C54029E"/>
    <w:rsid w:val="4C5D21E2"/>
    <w:rsid w:val="4C63338E"/>
    <w:rsid w:val="4C7A20E3"/>
    <w:rsid w:val="4C9B3F93"/>
    <w:rsid w:val="4CA854F0"/>
    <w:rsid w:val="4CEF445F"/>
    <w:rsid w:val="4D5F358E"/>
    <w:rsid w:val="4D946590"/>
    <w:rsid w:val="4DA76A46"/>
    <w:rsid w:val="4DE156B3"/>
    <w:rsid w:val="4DEB794F"/>
    <w:rsid w:val="4E15741C"/>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8D2275"/>
    <w:rsid w:val="4F9544C7"/>
    <w:rsid w:val="4FC03CA9"/>
    <w:rsid w:val="4FC07444"/>
    <w:rsid w:val="4FCA0BA5"/>
    <w:rsid w:val="4FE22ADA"/>
    <w:rsid w:val="50086DAB"/>
    <w:rsid w:val="502340BF"/>
    <w:rsid w:val="50251F0B"/>
    <w:rsid w:val="50340C2A"/>
    <w:rsid w:val="503A2293"/>
    <w:rsid w:val="5045131F"/>
    <w:rsid w:val="506176D1"/>
    <w:rsid w:val="506A4F48"/>
    <w:rsid w:val="5076586D"/>
    <w:rsid w:val="50911E77"/>
    <w:rsid w:val="50BB7718"/>
    <w:rsid w:val="50BF50EC"/>
    <w:rsid w:val="51085897"/>
    <w:rsid w:val="510E2713"/>
    <w:rsid w:val="510F51F2"/>
    <w:rsid w:val="512B01F7"/>
    <w:rsid w:val="512B4ABD"/>
    <w:rsid w:val="51AD14BB"/>
    <w:rsid w:val="52186CA6"/>
    <w:rsid w:val="52254EEE"/>
    <w:rsid w:val="522F21C5"/>
    <w:rsid w:val="524C5E63"/>
    <w:rsid w:val="52886D84"/>
    <w:rsid w:val="52CE1D80"/>
    <w:rsid w:val="53055654"/>
    <w:rsid w:val="531279BB"/>
    <w:rsid w:val="53141176"/>
    <w:rsid w:val="531A38C9"/>
    <w:rsid w:val="531B18A9"/>
    <w:rsid w:val="532A0507"/>
    <w:rsid w:val="53302BD5"/>
    <w:rsid w:val="534E3A78"/>
    <w:rsid w:val="535406C1"/>
    <w:rsid w:val="535856D4"/>
    <w:rsid w:val="537F1C03"/>
    <w:rsid w:val="5382068F"/>
    <w:rsid w:val="53A1577B"/>
    <w:rsid w:val="53BB2078"/>
    <w:rsid w:val="54284D6A"/>
    <w:rsid w:val="543B276A"/>
    <w:rsid w:val="543E7141"/>
    <w:rsid w:val="54434AAB"/>
    <w:rsid w:val="545055CB"/>
    <w:rsid w:val="545D27A6"/>
    <w:rsid w:val="54A1344D"/>
    <w:rsid w:val="54A22F54"/>
    <w:rsid w:val="54A94054"/>
    <w:rsid w:val="54B80F91"/>
    <w:rsid w:val="54CB0200"/>
    <w:rsid w:val="54D421E2"/>
    <w:rsid w:val="54E173FC"/>
    <w:rsid w:val="55193CA7"/>
    <w:rsid w:val="55984B3D"/>
    <w:rsid w:val="559F7531"/>
    <w:rsid w:val="55B6024F"/>
    <w:rsid w:val="55C411EC"/>
    <w:rsid w:val="55E156E1"/>
    <w:rsid w:val="567F51C0"/>
    <w:rsid w:val="56B555F4"/>
    <w:rsid w:val="56C754A5"/>
    <w:rsid w:val="56D73628"/>
    <w:rsid w:val="56DD2B16"/>
    <w:rsid w:val="57042BC6"/>
    <w:rsid w:val="57056DF3"/>
    <w:rsid w:val="57267A41"/>
    <w:rsid w:val="57375785"/>
    <w:rsid w:val="573A1530"/>
    <w:rsid w:val="573E57FA"/>
    <w:rsid w:val="57414B80"/>
    <w:rsid w:val="575C4B43"/>
    <w:rsid w:val="57BB0E19"/>
    <w:rsid w:val="57CB0C9A"/>
    <w:rsid w:val="57D43A5A"/>
    <w:rsid w:val="57DB42F1"/>
    <w:rsid w:val="57DC7D3A"/>
    <w:rsid w:val="58132EF7"/>
    <w:rsid w:val="58330D1C"/>
    <w:rsid w:val="58562280"/>
    <w:rsid w:val="585D4CFB"/>
    <w:rsid w:val="58924D7D"/>
    <w:rsid w:val="589F1878"/>
    <w:rsid w:val="58D009A0"/>
    <w:rsid w:val="58E51E0F"/>
    <w:rsid w:val="59104DB1"/>
    <w:rsid w:val="593E6411"/>
    <w:rsid w:val="595B535C"/>
    <w:rsid w:val="596C3ECC"/>
    <w:rsid w:val="59C10FE9"/>
    <w:rsid w:val="59E979D6"/>
    <w:rsid w:val="59ED4265"/>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F22FC6"/>
    <w:rsid w:val="5BF41B96"/>
    <w:rsid w:val="5BFC16C8"/>
    <w:rsid w:val="5C356427"/>
    <w:rsid w:val="5C543947"/>
    <w:rsid w:val="5C5F100A"/>
    <w:rsid w:val="5C680697"/>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C7063D"/>
    <w:rsid w:val="5ED77A80"/>
    <w:rsid w:val="5ED871CC"/>
    <w:rsid w:val="5EDD0B0F"/>
    <w:rsid w:val="5EDE754C"/>
    <w:rsid w:val="5EE5693B"/>
    <w:rsid w:val="5EE9278E"/>
    <w:rsid w:val="5EF55144"/>
    <w:rsid w:val="5F117D15"/>
    <w:rsid w:val="5F3575EC"/>
    <w:rsid w:val="5F3945E8"/>
    <w:rsid w:val="5F3F77F3"/>
    <w:rsid w:val="5F7016AD"/>
    <w:rsid w:val="5F8238CA"/>
    <w:rsid w:val="5F892A9A"/>
    <w:rsid w:val="5F8F6D88"/>
    <w:rsid w:val="5FAF2323"/>
    <w:rsid w:val="5FB32D4A"/>
    <w:rsid w:val="5FB34F76"/>
    <w:rsid w:val="5FC15D30"/>
    <w:rsid w:val="5FE94FB9"/>
    <w:rsid w:val="601020D3"/>
    <w:rsid w:val="60197A66"/>
    <w:rsid w:val="606B1F9B"/>
    <w:rsid w:val="606C3287"/>
    <w:rsid w:val="607467E6"/>
    <w:rsid w:val="607B20EE"/>
    <w:rsid w:val="607F2918"/>
    <w:rsid w:val="607F630A"/>
    <w:rsid w:val="60A33371"/>
    <w:rsid w:val="60AF33CD"/>
    <w:rsid w:val="60BF7035"/>
    <w:rsid w:val="60C03A75"/>
    <w:rsid w:val="60D076AF"/>
    <w:rsid w:val="61074B2C"/>
    <w:rsid w:val="611F20D1"/>
    <w:rsid w:val="61402804"/>
    <w:rsid w:val="61540F2F"/>
    <w:rsid w:val="61590CF6"/>
    <w:rsid w:val="61640D85"/>
    <w:rsid w:val="616B2D09"/>
    <w:rsid w:val="617F117B"/>
    <w:rsid w:val="618D56B1"/>
    <w:rsid w:val="618E5A8B"/>
    <w:rsid w:val="61922AFE"/>
    <w:rsid w:val="619E6659"/>
    <w:rsid w:val="61D53DD7"/>
    <w:rsid w:val="61E12202"/>
    <w:rsid w:val="61E85ACF"/>
    <w:rsid w:val="62083515"/>
    <w:rsid w:val="621B5382"/>
    <w:rsid w:val="62661F7A"/>
    <w:rsid w:val="626E5C32"/>
    <w:rsid w:val="628E6A01"/>
    <w:rsid w:val="62904726"/>
    <w:rsid w:val="62B0628B"/>
    <w:rsid w:val="62BD646D"/>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A0A26"/>
    <w:rsid w:val="660060CB"/>
    <w:rsid w:val="66492DF9"/>
    <w:rsid w:val="66BD20BA"/>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90C1FF9"/>
    <w:rsid w:val="691E4C71"/>
    <w:rsid w:val="69347C5B"/>
    <w:rsid w:val="693D1CB5"/>
    <w:rsid w:val="69E37D2D"/>
    <w:rsid w:val="69FF3AC9"/>
    <w:rsid w:val="6A0B4AF4"/>
    <w:rsid w:val="6A201C4E"/>
    <w:rsid w:val="6A235EA7"/>
    <w:rsid w:val="6A6F72A4"/>
    <w:rsid w:val="6A7D3DDD"/>
    <w:rsid w:val="6A810ADE"/>
    <w:rsid w:val="6AAF1322"/>
    <w:rsid w:val="6ABF4A24"/>
    <w:rsid w:val="6ACA0BF5"/>
    <w:rsid w:val="6AD80589"/>
    <w:rsid w:val="6B523989"/>
    <w:rsid w:val="6B5275DD"/>
    <w:rsid w:val="6B8E7D65"/>
    <w:rsid w:val="6BA94B95"/>
    <w:rsid w:val="6BC14DDF"/>
    <w:rsid w:val="6BC8195B"/>
    <w:rsid w:val="6BD07FC3"/>
    <w:rsid w:val="6BFB15DB"/>
    <w:rsid w:val="6C17656C"/>
    <w:rsid w:val="6C19304C"/>
    <w:rsid w:val="6C2958FC"/>
    <w:rsid w:val="6C4E489F"/>
    <w:rsid w:val="6C6C20EE"/>
    <w:rsid w:val="6CA90E07"/>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966769"/>
    <w:rsid w:val="6E973F9B"/>
    <w:rsid w:val="6EAA2436"/>
    <w:rsid w:val="6EC64157"/>
    <w:rsid w:val="6F3B7BC3"/>
    <w:rsid w:val="6F7A2BFE"/>
    <w:rsid w:val="6F956418"/>
    <w:rsid w:val="6FA678D7"/>
    <w:rsid w:val="6FBD3924"/>
    <w:rsid w:val="6FD527A1"/>
    <w:rsid w:val="70094468"/>
    <w:rsid w:val="703B6064"/>
    <w:rsid w:val="70473A60"/>
    <w:rsid w:val="706C2BC9"/>
    <w:rsid w:val="70781557"/>
    <w:rsid w:val="707920C3"/>
    <w:rsid w:val="70A05883"/>
    <w:rsid w:val="70B75733"/>
    <w:rsid w:val="70B82917"/>
    <w:rsid w:val="710358DF"/>
    <w:rsid w:val="712778E3"/>
    <w:rsid w:val="713D3965"/>
    <w:rsid w:val="71453340"/>
    <w:rsid w:val="714A02D7"/>
    <w:rsid w:val="71755457"/>
    <w:rsid w:val="71A57920"/>
    <w:rsid w:val="71C16647"/>
    <w:rsid w:val="71CD1B66"/>
    <w:rsid w:val="71DC3B27"/>
    <w:rsid w:val="71F80671"/>
    <w:rsid w:val="71F94B2A"/>
    <w:rsid w:val="721C62B3"/>
    <w:rsid w:val="724B48F1"/>
    <w:rsid w:val="7262497D"/>
    <w:rsid w:val="72675569"/>
    <w:rsid w:val="72763B61"/>
    <w:rsid w:val="72CC17CA"/>
    <w:rsid w:val="72E04962"/>
    <w:rsid w:val="72EE0705"/>
    <w:rsid w:val="72EE0BE9"/>
    <w:rsid w:val="731A5C96"/>
    <w:rsid w:val="733525AE"/>
    <w:rsid w:val="73495D03"/>
    <w:rsid w:val="735A26E0"/>
    <w:rsid w:val="73604CC9"/>
    <w:rsid w:val="73812D4F"/>
    <w:rsid w:val="73C475A4"/>
    <w:rsid w:val="73C8468F"/>
    <w:rsid w:val="73D06507"/>
    <w:rsid w:val="73DB7DDC"/>
    <w:rsid w:val="73E03BD4"/>
    <w:rsid w:val="73E72233"/>
    <w:rsid w:val="73E856FA"/>
    <w:rsid w:val="740A1881"/>
    <w:rsid w:val="742D4090"/>
    <w:rsid w:val="744F29CB"/>
    <w:rsid w:val="748D222D"/>
    <w:rsid w:val="74B67A9A"/>
    <w:rsid w:val="74B91DE3"/>
    <w:rsid w:val="74BB510E"/>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D74AD4"/>
    <w:rsid w:val="77013E25"/>
    <w:rsid w:val="771979B1"/>
    <w:rsid w:val="772F460B"/>
    <w:rsid w:val="773A0571"/>
    <w:rsid w:val="779E6C12"/>
    <w:rsid w:val="77A8124D"/>
    <w:rsid w:val="77B16162"/>
    <w:rsid w:val="77C72204"/>
    <w:rsid w:val="77CC7105"/>
    <w:rsid w:val="77E11C15"/>
    <w:rsid w:val="77FA4E68"/>
    <w:rsid w:val="783B563C"/>
    <w:rsid w:val="78534063"/>
    <w:rsid w:val="786851C2"/>
    <w:rsid w:val="78793453"/>
    <w:rsid w:val="78852241"/>
    <w:rsid w:val="789326A7"/>
    <w:rsid w:val="78A147D8"/>
    <w:rsid w:val="78A956A5"/>
    <w:rsid w:val="78AF4E7A"/>
    <w:rsid w:val="78B37735"/>
    <w:rsid w:val="78BD52D8"/>
    <w:rsid w:val="78D83E8A"/>
    <w:rsid w:val="78F46178"/>
    <w:rsid w:val="79397CA5"/>
    <w:rsid w:val="79504628"/>
    <w:rsid w:val="79635225"/>
    <w:rsid w:val="79A1658B"/>
    <w:rsid w:val="79A668B5"/>
    <w:rsid w:val="79C52F28"/>
    <w:rsid w:val="79E120DE"/>
    <w:rsid w:val="7A081EF4"/>
    <w:rsid w:val="7A2A4905"/>
    <w:rsid w:val="7A3F4828"/>
    <w:rsid w:val="7A574882"/>
    <w:rsid w:val="7A5E7D4D"/>
    <w:rsid w:val="7A687E45"/>
    <w:rsid w:val="7A98238A"/>
    <w:rsid w:val="7AC66792"/>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F42C3E"/>
    <w:rsid w:val="7D125009"/>
    <w:rsid w:val="7D143C1C"/>
    <w:rsid w:val="7D2C2D02"/>
    <w:rsid w:val="7D347B3B"/>
    <w:rsid w:val="7D5E6C60"/>
    <w:rsid w:val="7D8F3CCC"/>
    <w:rsid w:val="7DA5119B"/>
    <w:rsid w:val="7DB9100E"/>
    <w:rsid w:val="7DD178FF"/>
    <w:rsid w:val="7DD93AF5"/>
    <w:rsid w:val="7E08488D"/>
    <w:rsid w:val="7E0B46C6"/>
    <w:rsid w:val="7E29658F"/>
    <w:rsid w:val="7E6C096D"/>
    <w:rsid w:val="7E741A9E"/>
    <w:rsid w:val="7E76669F"/>
    <w:rsid w:val="7E7D3589"/>
    <w:rsid w:val="7E945C6C"/>
    <w:rsid w:val="7E9E36A5"/>
    <w:rsid w:val="7EB97006"/>
    <w:rsid w:val="7EBD706C"/>
    <w:rsid w:val="7F05191B"/>
    <w:rsid w:val="7F0E0284"/>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outlineLvl w:val="1"/>
    </w:pPr>
    <w:rPr>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0"/>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qFormat/>
    <w:uiPriority w:val="0"/>
    <w:pPr>
      <w:spacing w:line="360" w:lineRule="auto"/>
    </w:pPr>
    <w:rPr>
      <w:rFonts w:ascii="宋体" w:hAnsi="宋体"/>
      <w:sz w:val="24"/>
    </w:rPr>
  </w:style>
  <w:style w:type="paragraph" w:styleId="6">
    <w:name w:val="Body Text Indent"/>
    <w:basedOn w:val="1"/>
    <w:qFormat/>
    <w:uiPriority w:val="0"/>
    <w:pPr>
      <w:spacing w:line="360" w:lineRule="auto"/>
      <w:ind w:firstLine="420" w:firstLineChars="200"/>
    </w:pPr>
    <w:rPr>
      <w:rFonts w:ascii="宋体" w:hAnsi="宋体"/>
    </w:rPr>
  </w:style>
  <w:style w:type="paragraph" w:styleId="7">
    <w:name w:val="Plain Text"/>
    <w:basedOn w:val="1"/>
    <w:link w:val="24"/>
    <w:qFormat/>
    <w:uiPriority w:val="0"/>
    <w:rPr>
      <w:rFonts w:ascii="宋体" w:hAnsi="Courier New" w:cs="Courier New"/>
      <w:szCs w:val="21"/>
    </w:rPr>
  </w:style>
  <w:style w:type="paragraph" w:styleId="8">
    <w:name w:val="Date"/>
    <w:basedOn w:val="1"/>
    <w:next w:val="1"/>
    <w:qFormat/>
    <w:uiPriority w:val="0"/>
    <w:pPr>
      <w:ind w:left="100" w:leftChars="2500"/>
    </w:pPr>
    <w:rPr>
      <w:rFonts w:ascii="宋体" w:hAnsi="宋体"/>
      <w:color w:val="FF6600"/>
      <w:kern w:val="0"/>
      <w:sz w:val="24"/>
    </w:rPr>
  </w:style>
  <w:style w:type="paragraph" w:styleId="9">
    <w:name w:val="Body Text Indent 2"/>
    <w:basedOn w:val="1"/>
    <w:link w:val="23"/>
    <w:qFormat/>
    <w:uiPriority w:val="0"/>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5"/>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kern w:val="0"/>
      <w:sz w:val="24"/>
    </w:rPr>
  </w:style>
  <w:style w:type="paragraph" w:styleId="15">
    <w:name w:val="annotation subject"/>
    <w:basedOn w:val="4"/>
    <w:next w:val="4"/>
    <w:qFormat/>
    <w:uiPriority w:val="0"/>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character" w:customStyle="1" w:styleId="23">
    <w:name w:val="正文文本缩进 2 Char"/>
    <w:basedOn w:val="18"/>
    <w:link w:val="9"/>
    <w:qFormat/>
    <w:uiPriority w:val="0"/>
    <w:rPr>
      <w:kern w:val="2"/>
      <w:sz w:val="21"/>
      <w:szCs w:val="24"/>
    </w:rPr>
  </w:style>
  <w:style w:type="character" w:customStyle="1" w:styleId="24">
    <w:name w:val="纯文本 Char"/>
    <w:basedOn w:val="18"/>
    <w:link w:val="7"/>
    <w:qFormat/>
    <w:uiPriority w:val="0"/>
    <w:rPr>
      <w:rFonts w:ascii="宋体" w:hAnsi="Courier New" w:cs="Courier New"/>
      <w:kern w:val="2"/>
      <w:sz w:val="21"/>
      <w:szCs w:val="21"/>
    </w:rPr>
  </w:style>
  <w:style w:type="character" w:customStyle="1" w:styleId="25">
    <w:name w:val="正文文本缩进 3 Char"/>
    <w:basedOn w:val="18"/>
    <w:link w:val="13"/>
    <w:qFormat/>
    <w:uiPriority w:val="0"/>
    <w:rPr>
      <w:kern w:val="2"/>
      <w:sz w:val="16"/>
      <w:szCs w:val="16"/>
    </w:rPr>
  </w:style>
  <w:style w:type="paragraph" w:customStyle="1" w:styleId="26">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27">
    <w:name w:val="List Paragraph"/>
    <w:basedOn w:val="1"/>
    <w:qFormat/>
    <w:uiPriority w:val="34"/>
    <w:pPr>
      <w:ind w:firstLine="420" w:firstLineChars="200"/>
    </w:pPr>
  </w:style>
  <w:style w:type="paragraph" w:customStyle="1" w:styleId="28">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正文文本缩进 2 Char1"/>
    <w:basedOn w:val="18"/>
    <w:semiHidden/>
    <w:qFormat/>
    <w:locked/>
    <w:uiPriority w:val="0"/>
    <w:rPr>
      <w:kern w:val="2"/>
      <w:sz w:val="21"/>
      <w:szCs w:val="24"/>
    </w:rPr>
  </w:style>
  <w:style w:type="character" w:customStyle="1" w:styleId="30">
    <w:name w:val="文档结构图 Char"/>
    <w:basedOn w:val="18"/>
    <w:link w:val="3"/>
    <w:qFormat/>
    <w:uiPriority w:val="0"/>
    <w:rPr>
      <w:rFonts w:ascii="宋体"/>
      <w:kern w:val="2"/>
      <w:sz w:val="18"/>
      <w:szCs w:val="18"/>
    </w:rPr>
  </w:style>
  <w:style w:type="paragraph" w:customStyle="1" w:styleId="31">
    <w:name w:val="目录 11"/>
    <w:basedOn w:val="1"/>
    <w:next w:val="1"/>
    <w:qFormat/>
    <w:uiPriority w:val="39"/>
    <w:pPr>
      <w:tabs>
        <w:tab w:val="right" w:leader="dot" w:pos="9241"/>
      </w:tabs>
      <w:spacing w:line="36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4"/>
    <customShpInfo spid="_x0000_s3089"/>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21</Pages>
  <Words>11782</Words>
  <Characters>12364</Characters>
  <Lines>51</Lines>
  <Paragraphs>14</Paragraphs>
  <TotalTime>0</TotalTime>
  <ScaleCrop>false</ScaleCrop>
  <LinksUpToDate>false</LinksUpToDate>
  <CharactersWithSpaces>12680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2022-05-04T13:04:00Z</dcterms:created>
  <dc:creator>Xer</dc:creator>
  <cp:lastModifiedBy>齐虹</cp:lastModifiedBy>
  <cp:lastPrinted>2021-07-15T07:43:00Z</cp:lastPrinted>
  <dcterms:modified xsi:type="dcterms:W3CDTF">2023-04-07T07:01:41Z</dcterms:modified>
  <dc:title>《质量手册》批准发布令</dc:title>
  <cp:revision>1335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