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eastAsia="隶书"/>
          <w:b/>
          <w:bCs/>
          <w:sz w:val="48"/>
        </w:rPr>
      </w:pPr>
    </w:p>
    <w:tbl>
      <w:tblPr>
        <w:tblStyle w:val="19"/>
        <w:tblpPr w:leftFromText="180" w:rightFromText="180" w:vertAnchor="page" w:horzAnchor="page" w:tblpX="6162" w:tblpY="15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7"/>
        <w:gridCol w:w="2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717" w:type="dxa"/>
          </w:tcPr>
          <w:p>
            <w:pPr>
              <w:rPr>
                <w:sz w:val="24"/>
              </w:rPr>
            </w:pPr>
            <w:r>
              <w:rPr>
                <w:rFonts w:hint="eastAsia" w:eastAsia="隶书"/>
                <w:b/>
                <w:bCs/>
                <w:sz w:val="24"/>
              </w:rPr>
              <w:t>所属类别</w:t>
            </w:r>
          </w:p>
        </w:tc>
        <w:tc>
          <w:tcPr>
            <w:tcW w:w="2961" w:type="dxa"/>
            <w:vAlign w:val="center"/>
          </w:tcPr>
          <w:p>
            <w:pPr>
              <w:jc w:val="center"/>
              <w:rPr>
                <w:rFonts w:eastAsia="隶书"/>
                <w:b/>
                <w:bCs/>
                <w:sz w:val="24"/>
              </w:rPr>
            </w:pPr>
            <w:r>
              <w:rPr>
                <w:rFonts w:hint="eastAsia" w:eastAsia="隶书"/>
                <w:b/>
                <w:bCs/>
                <w:sz w:val="24"/>
              </w:rPr>
              <w:t>鉴定评审质量管理体系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717" w:type="dxa"/>
          </w:tcPr>
          <w:p>
            <w:pPr>
              <w:rPr>
                <w:rFonts w:eastAsia="隶书"/>
                <w:b/>
                <w:bCs/>
                <w:sz w:val="24"/>
              </w:rPr>
            </w:pPr>
            <w:r>
              <w:rPr>
                <w:rFonts w:hint="eastAsia" w:eastAsia="隶书"/>
                <w:b/>
                <w:bCs/>
                <w:sz w:val="24"/>
              </w:rPr>
              <w:t>文 件 号</w:t>
            </w:r>
          </w:p>
        </w:tc>
        <w:tc>
          <w:tcPr>
            <w:tcW w:w="2961" w:type="dxa"/>
            <w:vAlign w:val="center"/>
          </w:tcPr>
          <w:p>
            <w:pPr>
              <w:jc w:val="center"/>
              <w:rPr>
                <w:rFonts w:eastAsia="隶书"/>
                <w:b/>
                <w:bCs/>
                <w:sz w:val="24"/>
              </w:rPr>
            </w:pPr>
            <w:r>
              <w:rPr>
                <w:rFonts w:hint="eastAsia" w:eastAsia="隶书"/>
                <w:b/>
                <w:bCs/>
                <w:sz w:val="24"/>
              </w:rPr>
              <w:t>XTXPS/ZN-GLZ-2022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rPr>
                <w:sz w:val="24"/>
              </w:rPr>
            </w:pPr>
            <w:r>
              <w:rPr>
                <w:rFonts w:hint="eastAsia" w:eastAsia="隶书"/>
                <w:b/>
                <w:bCs/>
                <w:sz w:val="24"/>
              </w:rPr>
              <w:t>受控状态</w:t>
            </w:r>
          </w:p>
        </w:tc>
        <w:tc>
          <w:tcPr>
            <w:tcW w:w="2961" w:type="dxa"/>
          </w:tcPr>
          <w:p>
            <w:pPr>
              <w:rPr>
                <w:sz w:val="24"/>
              </w:rPr>
            </w:pPr>
            <w:r>
              <w:rPr>
                <w:rFonts w:hint="eastAsia" w:eastAsia="隶书"/>
                <w:b/>
                <w:bCs/>
                <w:sz w:val="24"/>
              </w:rPr>
              <w:t xml:space="preserve">    受控□非受控□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rPr>
                <w:rFonts w:eastAsia="隶书"/>
                <w:b/>
                <w:bCs/>
                <w:sz w:val="24"/>
              </w:rPr>
            </w:pPr>
            <w:r>
              <w:rPr>
                <w:rFonts w:hint="eastAsia" w:eastAsia="隶书"/>
                <w:b/>
                <w:bCs/>
                <w:sz w:val="24"/>
              </w:rPr>
              <w:t>发 放 号</w:t>
            </w:r>
          </w:p>
        </w:tc>
        <w:tc>
          <w:tcPr>
            <w:tcW w:w="2961" w:type="dxa"/>
          </w:tcPr>
          <w:p>
            <w:pPr>
              <w:rPr>
                <w:sz w:val="24"/>
              </w:rPr>
            </w:pPr>
          </w:p>
        </w:tc>
      </w:tr>
    </w:tbl>
    <w:p>
      <w:pPr>
        <w:rPr>
          <w:rFonts w:eastAsia="隶书"/>
          <w:b/>
          <w:bCs/>
          <w:sz w:val="48"/>
        </w:rPr>
      </w:pPr>
    </w:p>
    <w:p>
      <w:pPr>
        <w:rPr>
          <w:rFonts w:eastAsia="隶书"/>
          <w:b/>
          <w:bCs/>
          <w:sz w:val="48"/>
        </w:rPr>
      </w:pPr>
    </w:p>
    <w:p>
      <w:pPr>
        <w:rPr>
          <w:rFonts w:eastAsia="隶书"/>
          <w:b/>
          <w:bCs/>
          <w:sz w:val="48"/>
        </w:rPr>
      </w:pPr>
    </w:p>
    <w:p>
      <w:pPr>
        <w:pStyle w:val="2"/>
        <w:rPr>
          <w:rFonts w:hint="default" w:eastAsia="隶书"/>
          <w:b/>
          <w:bCs/>
          <w:sz w:val="48"/>
        </w:rPr>
      </w:pPr>
    </w:p>
    <w:p>
      <w:pPr>
        <w:pStyle w:val="3"/>
        <w:rPr>
          <w:rFonts w:hint="default"/>
        </w:rPr>
      </w:pPr>
    </w:p>
    <w:p>
      <w:pPr>
        <w:spacing w:line="760" w:lineRule="exact"/>
        <w:jc w:val="center"/>
        <w:rPr>
          <w:rFonts w:ascii="隶书" w:hAnsi="宋体" w:eastAsia="隶书" w:cs="宋体"/>
          <w:b/>
          <w:bCs/>
          <w:spacing w:val="23"/>
          <w:sz w:val="84"/>
          <w:szCs w:val="84"/>
        </w:rPr>
      </w:pPr>
      <w:r>
        <w:rPr>
          <w:rFonts w:hint="eastAsia" w:ascii="隶书" w:hAnsi="宋体" w:eastAsia="隶书" w:cs="宋体"/>
          <w:b/>
          <w:bCs/>
          <w:spacing w:val="23"/>
          <w:sz w:val="84"/>
          <w:szCs w:val="84"/>
        </w:rPr>
        <w:t>特种设备行政许可</w:t>
      </w:r>
    </w:p>
    <w:p>
      <w:pPr>
        <w:spacing w:line="760" w:lineRule="exact"/>
        <w:jc w:val="center"/>
        <w:rPr>
          <w:rFonts w:ascii="隶书" w:hAnsi="宋体" w:eastAsia="隶书" w:cs="宋体"/>
          <w:b/>
          <w:bCs/>
          <w:sz w:val="84"/>
          <w:szCs w:val="84"/>
        </w:rPr>
      </w:pPr>
      <w:r>
        <w:rPr>
          <w:rFonts w:hint="eastAsia" w:ascii="隶书" w:hAnsi="宋体" w:eastAsia="隶书" w:cs="宋体"/>
          <w:b/>
          <w:bCs/>
          <w:sz w:val="84"/>
          <w:szCs w:val="84"/>
        </w:rPr>
        <w:t>现场鉴定评审指南</w:t>
      </w:r>
    </w:p>
    <w:p>
      <w:pPr>
        <w:spacing w:line="480" w:lineRule="exact"/>
        <w:jc w:val="center"/>
        <w:rPr>
          <w:rFonts w:ascii="隶书" w:hAnsi="宋体" w:eastAsia="隶书" w:cs="宋体"/>
          <w:b/>
          <w:bCs/>
          <w:spacing w:val="23"/>
          <w:sz w:val="84"/>
          <w:szCs w:val="84"/>
        </w:rPr>
      </w:pPr>
    </w:p>
    <w:p>
      <w:pPr>
        <w:spacing w:line="760" w:lineRule="exact"/>
        <w:jc w:val="center"/>
        <w:rPr>
          <w:rFonts w:ascii="隶书" w:hAnsi="宋体" w:eastAsia="隶书" w:cs="宋体"/>
          <w:b/>
          <w:bCs/>
          <w:spacing w:val="23"/>
          <w:sz w:val="84"/>
          <w:szCs w:val="84"/>
        </w:rPr>
      </w:pPr>
      <w:r>
        <w:rPr>
          <w:rFonts w:hint="eastAsia" w:ascii="隶书" w:hAnsi="宋体" w:eastAsia="隶书" w:cs="宋体"/>
          <w:b/>
          <w:bCs/>
          <w:spacing w:val="23"/>
          <w:sz w:val="84"/>
          <w:szCs w:val="84"/>
        </w:rPr>
        <w:t>第2部分 专用指南</w:t>
      </w:r>
    </w:p>
    <w:p>
      <w:pPr>
        <w:spacing w:line="760" w:lineRule="exact"/>
        <w:jc w:val="center"/>
        <w:rPr>
          <w:rFonts w:ascii="隶书" w:hAnsi="宋体" w:eastAsia="隶书" w:cs="宋体"/>
          <w:b/>
          <w:bCs/>
          <w:spacing w:val="-28"/>
          <w:sz w:val="84"/>
          <w:szCs w:val="84"/>
        </w:rPr>
      </w:pPr>
      <w:r>
        <w:rPr>
          <w:rFonts w:hint="eastAsia" w:ascii="隶书" w:hAnsi="宋体" w:eastAsia="隶书" w:cs="宋体"/>
          <w:b/>
          <w:bCs/>
          <w:spacing w:val="23"/>
          <w:sz w:val="84"/>
          <w:szCs w:val="84"/>
        </w:rPr>
        <w:t>锅炉制造单位</w:t>
      </w:r>
    </w:p>
    <w:p>
      <w:pPr>
        <w:jc w:val="center"/>
        <w:rPr>
          <w:rFonts w:ascii="宋体" w:hAnsi="宋体"/>
          <w:b/>
          <w:bCs/>
          <w:sz w:val="32"/>
          <w:szCs w:val="32"/>
        </w:rPr>
      </w:pPr>
    </w:p>
    <w:p>
      <w:pPr>
        <w:jc w:val="center"/>
        <w:rPr>
          <w:rFonts w:eastAsia="隶书"/>
          <w:b/>
          <w:bCs/>
          <w:sz w:val="36"/>
        </w:rPr>
      </w:pPr>
    </w:p>
    <w:p>
      <w:pPr>
        <w:jc w:val="center"/>
        <w:rPr>
          <w:rFonts w:eastAsia="隶书"/>
          <w:b/>
          <w:bCs/>
          <w:sz w:val="36"/>
        </w:rPr>
      </w:pPr>
    </w:p>
    <w:p>
      <w:pPr>
        <w:spacing w:line="360" w:lineRule="auto"/>
        <w:jc w:val="left"/>
        <w:rPr>
          <w:rFonts w:hint="eastAsia" w:ascii="隶书" w:hAnsi="黑体" w:eastAsia="隶书"/>
          <w:sz w:val="52"/>
          <w:szCs w:val="52"/>
        </w:rPr>
      </w:pPr>
      <w:r>
        <w:rPr>
          <w:rFonts w:hint="eastAsia" w:ascii="隶书" w:hAnsi="黑体" w:eastAsia="隶书"/>
          <w:sz w:val="52"/>
          <w:szCs w:val="52"/>
        </w:rPr>
        <w:t xml:space="preserve">          </w:t>
      </w:r>
    </w:p>
    <w:p>
      <w:pPr>
        <w:spacing w:line="360" w:lineRule="auto"/>
        <w:jc w:val="left"/>
        <w:rPr>
          <w:rFonts w:hint="eastAsia" w:ascii="隶书" w:hAnsi="黑体" w:eastAsia="隶书"/>
          <w:sz w:val="52"/>
          <w:szCs w:val="52"/>
        </w:rPr>
      </w:pPr>
    </w:p>
    <w:p>
      <w:pPr>
        <w:spacing w:line="360" w:lineRule="auto"/>
        <w:jc w:val="left"/>
        <w:rPr>
          <w:rFonts w:ascii="隶书" w:hAnsi="黑体" w:eastAsia="隶书"/>
          <w:sz w:val="52"/>
          <w:szCs w:val="52"/>
        </w:rPr>
      </w:pPr>
      <w:bookmarkStart w:id="10" w:name="_GoBack"/>
      <w:bookmarkEnd w:id="10"/>
      <w:r>
        <w:rPr>
          <w:rFonts w:hint="eastAsia" w:ascii="隶书" w:hAnsi="黑体" w:eastAsia="隶书"/>
          <w:sz w:val="52"/>
          <w:szCs w:val="52"/>
        </w:rPr>
        <w:t xml:space="preserve"> </w:t>
      </w:r>
    </w:p>
    <w:p>
      <w:pPr>
        <w:tabs>
          <w:tab w:val="left" w:pos="3820"/>
        </w:tabs>
        <w:jc w:val="left"/>
        <w:rPr>
          <w:rFonts w:eastAsia="隶书"/>
          <w:b/>
          <w:bCs/>
          <w:sz w:val="30"/>
        </w:rPr>
      </w:pPr>
      <w:r>
        <w:rPr>
          <w:rFonts w:hint="eastAsia" w:eastAsia="隶书"/>
          <w:b/>
          <w:bCs/>
          <w:sz w:val="30"/>
        </w:rPr>
        <w:tab/>
      </w:r>
    </w:p>
    <w:p>
      <w:pPr>
        <w:rPr>
          <w:rFonts w:eastAsia="隶书"/>
          <w:b/>
          <w:bCs/>
          <w:sz w:val="30"/>
        </w:rPr>
      </w:pPr>
    </w:p>
    <w:p>
      <w:pPr>
        <w:jc w:val="center"/>
        <w:rPr>
          <w:rFonts w:eastAsia="隶书"/>
          <w:spacing w:val="-6"/>
          <w:sz w:val="32"/>
        </w:rPr>
      </w:pPr>
      <w:r>
        <w:rPr>
          <w:rFonts w:hint="eastAsia" w:eastAsia="隶书"/>
          <w:b/>
          <w:sz w:val="48"/>
        </w:rPr>
        <w:t>湖南省特种设备协会</w:t>
      </w:r>
    </w:p>
    <w:p>
      <w:pPr>
        <w:spacing w:before="312" w:beforeLines="100" w:after="100" w:afterAutospacing="1" w:line="400" w:lineRule="exact"/>
        <w:jc w:val="center"/>
        <w:outlineLvl w:val="0"/>
        <w:rPr>
          <w:rFonts w:ascii="黑体" w:hAnsi="黑体" w:eastAsia="黑体"/>
          <w:b/>
          <w:sz w:val="32"/>
          <w:szCs w:val="32"/>
        </w:rPr>
      </w:pPr>
      <w:bookmarkStart w:id="0" w:name="OLE_LINK54"/>
      <w:bookmarkStart w:id="1" w:name="OLE_LINK53"/>
      <w:r>
        <w:rPr>
          <w:rFonts w:hint="eastAsia" w:ascii="黑体" w:hAnsi="黑体" w:eastAsia="黑体"/>
          <w:b/>
          <w:sz w:val="32"/>
          <w:szCs w:val="32"/>
        </w:rPr>
        <w:t>特种设备行政许可现场鉴定评审指南</w:t>
      </w:r>
    </w:p>
    <w:p>
      <w:pPr>
        <w:spacing w:before="312" w:beforeLines="100" w:after="100" w:afterAutospacing="1" w:line="400" w:lineRule="exact"/>
        <w:jc w:val="center"/>
        <w:outlineLvl w:val="0"/>
        <w:rPr>
          <w:rFonts w:ascii="黑体" w:hAnsi="黑体" w:eastAsia="黑体"/>
          <w:b/>
          <w:sz w:val="32"/>
          <w:szCs w:val="32"/>
        </w:rPr>
      </w:pPr>
      <w:r>
        <w:rPr>
          <w:rFonts w:hint="eastAsia" w:ascii="黑体" w:hAnsi="黑体" w:eastAsia="黑体"/>
          <w:b/>
          <w:sz w:val="32"/>
          <w:szCs w:val="32"/>
        </w:rPr>
        <w:t>第2部分 专用指南 锅炉制造单位</w:t>
      </w:r>
    </w:p>
    <w:bookmarkEnd w:id="0"/>
    <w:bookmarkEnd w:id="1"/>
    <w:p>
      <w:pPr>
        <w:spacing w:line="480" w:lineRule="auto"/>
        <w:outlineLvl w:val="0"/>
        <w:rPr>
          <w:rFonts w:ascii="宋体" w:hAnsi="宋体" w:cs="黑体"/>
          <w:b/>
          <w:sz w:val="24"/>
        </w:rPr>
      </w:pPr>
      <w:bookmarkStart w:id="2" w:name="OLE_LINK125"/>
      <w:bookmarkStart w:id="3" w:name="OLE_LINK124"/>
      <w:r>
        <w:rPr>
          <w:rFonts w:hint="eastAsia" w:ascii="宋体" w:hAnsi="宋体" w:cs="黑体"/>
          <w:b/>
          <w:sz w:val="24"/>
        </w:rPr>
        <w:t>1  范围</w:t>
      </w:r>
    </w:p>
    <w:bookmarkEnd w:id="2"/>
    <w:bookmarkEnd w:id="3"/>
    <w:p>
      <w:pPr>
        <w:spacing w:line="360" w:lineRule="auto"/>
        <w:ind w:firstLine="480" w:firstLineChars="200"/>
        <w:rPr>
          <w:rFonts w:ascii="宋体" w:hAnsi="宋体"/>
          <w:sz w:val="24"/>
        </w:rPr>
      </w:pPr>
      <w:r>
        <w:rPr>
          <w:rFonts w:hint="eastAsia" w:ascii="宋体" w:hAnsi="宋体"/>
          <w:sz w:val="24"/>
        </w:rPr>
        <w:t>本部分为特种设备行政许可现场鉴定评审指南第2部分 专用指南 锅炉制造单位。</w:t>
      </w:r>
    </w:p>
    <w:p>
      <w:pPr>
        <w:spacing w:line="360" w:lineRule="auto"/>
        <w:ind w:firstLine="480" w:firstLineChars="200"/>
        <w:rPr>
          <w:rFonts w:ascii="宋体" w:hAnsi="宋体"/>
          <w:sz w:val="24"/>
        </w:rPr>
      </w:pPr>
      <w:r>
        <w:rPr>
          <w:rFonts w:hint="eastAsia" w:ascii="宋体" w:hAnsi="宋体"/>
          <w:sz w:val="24"/>
        </w:rPr>
        <w:t>本部分规定了</w:t>
      </w:r>
      <w:bookmarkStart w:id="4" w:name="OLE_LINK35"/>
      <w:bookmarkStart w:id="5" w:name="OLE_LINK36"/>
      <w:r>
        <w:rPr>
          <w:rFonts w:hint="eastAsia" w:ascii="宋体" w:hAnsi="宋体"/>
          <w:sz w:val="24"/>
        </w:rPr>
        <w:t>锅炉制造单位鉴定评审的资源条件、应准备的文件和材料、应配备的法规和标准、质量保证体系等方面的基本要求。</w:t>
      </w:r>
    </w:p>
    <w:p>
      <w:pPr>
        <w:spacing w:line="360" w:lineRule="auto"/>
        <w:ind w:firstLine="480" w:firstLineChars="200"/>
        <w:rPr>
          <w:rFonts w:ascii="宋体" w:hAnsi="宋体"/>
          <w:sz w:val="24"/>
        </w:rPr>
      </w:pPr>
      <w:r>
        <w:rPr>
          <w:rFonts w:hint="eastAsia" w:ascii="宋体" w:hAnsi="宋体"/>
          <w:sz w:val="24"/>
        </w:rPr>
        <w:t>本部分适用于B级锅炉和A级部件的锅炉制造单位许可鉴定评审。</w:t>
      </w:r>
    </w:p>
    <w:bookmarkEnd w:id="4"/>
    <w:bookmarkEnd w:id="5"/>
    <w:p>
      <w:pPr>
        <w:spacing w:line="480" w:lineRule="auto"/>
        <w:outlineLvl w:val="0"/>
        <w:rPr>
          <w:rFonts w:ascii="宋体" w:hAnsi="宋体" w:cs="黑体"/>
          <w:b/>
          <w:sz w:val="24"/>
        </w:rPr>
      </w:pPr>
      <w:r>
        <w:rPr>
          <w:rFonts w:hint="eastAsia" w:ascii="宋体" w:hAnsi="宋体" w:cs="黑体"/>
          <w:b/>
          <w:sz w:val="24"/>
        </w:rPr>
        <w:t xml:space="preserve">2  引用文件 </w:t>
      </w:r>
    </w:p>
    <w:p>
      <w:pPr>
        <w:spacing w:line="360" w:lineRule="auto"/>
        <w:ind w:firstLine="480" w:firstLineChars="200"/>
        <w:rPr>
          <w:rFonts w:ascii="宋体" w:hAnsi="宋体"/>
          <w:sz w:val="24"/>
        </w:rPr>
      </w:pPr>
      <w:r>
        <w:rPr>
          <w:rFonts w:hint="eastAsia" w:ascii="宋体" w:hAnsi="宋体"/>
          <w:sz w:val="24"/>
        </w:rPr>
        <w:t>2.1  特种设备安全法</w:t>
      </w:r>
    </w:p>
    <w:p>
      <w:pPr>
        <w:spacing w:line="360" w:lineRule="auto"/>
        <w:ind w:firstLine="480" w:firstLineChars="200"/>
        <w:rPr>
          <w:rFonts w:ascii="宋体" w:hAnsi="宋体"/>
          <w:sz w:val="24"/>
        </w:rPr>
      </w:pPr>
      <w:r>
        <w:rPr>
          <w:rFonts w:hint="eastAsia" w:ascii="宋体" w:hAnsi="宋体"/>
          <w:sz w:val="24"/>
        </w:rPr>
        <w:t>2.2  特种设备安全监察条例</w:t>
      </w:r>
    </w:p>
    <w:p>
      <w:pPr>
        <w:spacing w:line="360" w:lineRule="auto"/>
        <w:ind w:firstLine="480" w:firstLineChars="200"/>
        <w:rPr>
          <w:rFonts w:ascii="宋体" w:hAnsi="宋体"/>
          <w:sz w:val="24"/>
        </w:rPr>
      </w:pPr>
      <w:r>
        <w:rPr>
          <w:rFonts w:hint="eastAsia" w:ascii="宋体" w:hAnsi="宋体"/>
          <w:sz w:val="24"/>
        </w:rPr>
        <w:t xml:space="preserve">2.3 </w:t>
      </w:r>
      <w:bookmarkStart w:id="6" w:name="OLE_LINK114"/>
      <w:bookmarkStart w:id="7" w:name="OLE_LINK115"/>
      <w:r>
        <w:rPr>
          <w:rFonts w:hint="eastAsia" w:ascii="宋体" w:hAnsi="宋体"/>
          <w:sz w:val="24"/>
        </w:rPr>
        <w:t xml:space="preserve"> </w:t>
      </w:r>
      <w:bookmarkEnd w:id="6"/>
      <w:bookmarkEnd w:id="7"/>
      <w:r>
        <w:rPr>
          <w:rFonts w:hint="eastAsia" w:ascii="宋体" w:hAnsi="宋体"/>
          <w:sz w:val="24"/>
        </w:rPr>
        <w:t>TSG 07-2019</w:t>
      </w:r>
      <w:bookmarkStart w:id="8" w:name="OLE_LINK119"/>
      <w:r>
        <w:rPr>
          <w:rFonts w:hint="eastAsia" w:ascii="宋体" w:hAnsi="宋体"/>
          <w:sz w:val="24"/>
        </w:rPr>
        <w:t xml:space="preserve"> 特种设备生产和充装单位许可</w:t>
      </w:r>
      <w:bookmarkEnd w:id="8"/>
      <w:r>
        <w:rPr>
          <w:rFonts w:hint="eastAsia" w:ascii="宋体" w:hAnsi="宋体"/>
          <w:sz w:val="24"/>
        </w:rPr>
        <w:t>规则</w:t>
      </w:r>
    </w:p>
    <w:p>
      <w:pPr>
        <w:spacing w:line="360" w:lineRule="auto"/>
        <w:ind w:firstLine="480" w:firstLineChars="200"/>
        <w:rPr>
          <w:rFonts w:ascii="宋体" w:hAnsi="宋体"/>
          <w:sz w:val="24"/>
        </w:rPr>
      </w:pPr>
      <w:r>
        <w:rPr>
          <w:rFonts w:hint="eastAsia" w:ascii="宋体" w:hAnsi="宋体"/>
          <w:sz w:val="24"/>
        </w:rPr>
        <w:t>2.4  TSG 11-2020 锅炉安全技术规程</w:t>
      </w:r>
    </w:p>
    <w:p>
      <w:pPr>
        <w:spacing w:line="360" w:lineRule="auto"/>
        <w:ind w:firstLine="480" w:firstLineChars="200"/>
        <w:rPr>
          <w:rFonts w:ascii="宋体" w:hAnsi="宋体"/>
          <w:sz w:val="24"/>
        </w:rPr>
      </w:pPr>
      <w:r>
        <w:rPr>
          <w:rFonts w:hint="eastAsia" w:ascii="宋体" w:hAnsi="宋体"/>
          <w:sz w:val="24"/>
        </w:rPr>
        <w:t>2.5  XTXPS/ZN-JXC-2022 特种设备行政许可现场鉴定评审指南 第1部分 通用指南 基本程序和要求</w:t>
      </w:r>
    </w:p>
    <w:p>
      <w:pPr>
        <w:spacing w:line="360" w:lineRule="auto"/>
        <w:ind w:firstLine="480" w:firstLineChars="200"/>
        <w:rPr>
          <w:rFonts w:ascii="宋体" w:hAnsi="宋体"/>
          <w:sz w:val="24"/>
        </w:rPr>
      </w:pPr>
      <w:r>
        <w:rPr>
          <w:rFonts w:hint="eastAsia" w:ascii="宋体" w:hAnsi="宋体"/>
          <w:sz w:val="24"/>
        </w:rPr>
        <w:t>2.6  其他相关特种设备安全技术规范和标准</w:t>
      </w:r>
    </w:p>
    <w:p>
      <w:pPr>
        <w:tabs>
          <w:tab w:val="left" w:pos="2490"/>
        </w:tabs>
        <w:spacing w:line="480" w:lineRule="auto"/>
        <w:outlineLvl w:val="0"/>
        <w:rPr>
          <w:rFonts w:ascii="宋体" w:hAnsi="宋体" w:cs="黑体"/>
          <w:b/>
          <w:sz w:val="24"/>
        </w:rPr>
      </w:pPr>
      <w:r>
        <w:rPr>
          <w:rFonts w:hint="eastAsia" w:ascii="宋体" w:hAnsi="宋体" w:cs="黑体"/>
          <w:b/>
          <w:sz w:val="24"/>
        </w:rPr>
        <w:t xml:space="preserve">3  术语 </w:t>
      </w:r>
      <w:r>
        <w:rPr>
          <w:rFonts w:hint="eastAsia" w:ascii="宋体" w:hAnsi="宋体" w:cs="黑体"/>
          <w:b/>
          <w:sz w:val="24"/>
        </w:rPr>
        <w:tab/>
      </w:r>
    </w:p>
    <w:p>
      <w:pPr>
        <w:spacing w:line="360" w:lineRule="auto"/>
        <w:ind w:firstLine="480" w:firstLineChars="200"/>
        <w:rPr>
          <w:rFonts w:ascii="宋体" w:hAnsi="宋体"/>
          <w:sz w:val="24"/>
        </w:rPr>
      </w:pPr>
      <w:r>
        <w:rPr>
          <w:rFonts w:hint="eastAsia" w:ascii="宋体" w:hAnsi="宋体"/>
          <w:sz w:val="24"/>
        </w:rPr>
        <w:t>本指南采用上述引用文件中界定的术语和定义。</w:t>
      </w:r>
    </w:p>
    <w:p>
      <w:pPr>
        <w:spacing w:line="360" w:lineRule="auto"/>
        <w:jc w:val="left"/>
        <w:rPr>
          <w:rFonts w:ascii="宋体" w:hAnsi="宋体" w:cs="宋体"/>
          <w:b/>
          <w:sz w:val="24"/>
        </w:rPr>
      </w:pPr>
      <w:bookmarkStart w:id="9" w:name="_Toc133889580"/>
      <w:r>
        <w:rPr>
          <w:rFonts w:hint="eastAsia" w:ascii="宋体" w:hAnsi="宋体" w:cs="宋体"/>
          <w:b/>
          <w:sz w:val="24"/>
        </w:rPr>
        <w:t>4  资源条件</w:t>
      </w:r>
      <w:bookmarkEnd w:id="9"/>
    </w:p>
    <w:p>
      <w:pPr>
        <w:spacing w:line="360" w:lineRule="auto"/>
        <w:ind w:firstLine="480" w:firstLineChars="200"/>
        <w:rPr>
          <w:rFonts w:ascii="宋体" w:hAnsi="宋体"/>
          <w:sz w:val="24"/>
        </w:rPr>
      </w:pPr>
      <w:r>
        <w:rPr>
          <w:rFonts w:hint="eastAsia" w:ascii="宋体" w:hAnsi="宋体"/>
          <w:sz w:val="24"/>
        </w:rPr>
        <w:t>4.1 申请单位的资源条件应当满足TSG 07-2019《特种设备生产和充装单位许可规则》要求。</w:t>
      </w:r>
    </w:p>
    <w:p>
      <w:pPr>
        <w:spacing w:line="360" w:lineRule="auto"/>
        <w:ind w:firstLine="480" w:firstLineChars="200"/>
        <w:rPr>
          <w:rFonts w:ascii="宋体" w:hAnsi="宋体"/>
          <w:sz w:val="24"/>
        </w:rPr>
      </w:pPr>
      <w:r>
        <w:rPr>
          <w:rFonts w:hint="eastAsia" w:ascii="宋体" w:hAnsi="宋体"/>
          <w:sz w:val="24"/>
        </w:rPr>
        <w:t>4.2 应当准备的资料</w:t>
      </w:r>
    </w:p>
    <w:p>
      <w:pPr>
        <w:spacing w:line="360" w:lineRule="auto"/>
        <w:ind w:firstLine="480" w:firstLineChars="200"/>
        <w:rPr>
          <w:rFonts w:ascii="宋体" w:hAnsi="宋体"/>
          <w:sz w:val="24"/>
        </w:rPr>
      </w:pPr>
      <w:r>
        <w:rPr>
          <w:rFonts w:hint="eastAsia" w:ascii="宋体" w:hAnsi="宋体"/>
          <w:sz w:val="24"/>
        </w:rPr>
        <w:t>4.2.1法律地位及生产责任范围方面</w:t>
      </w:r>
    </w:p>
    <w:p>
      <w:pPr>
        <w:spacing w:line="360" w:lineRule="auto"/>
        <w:ind w:firstLine="480" w:firstLineChars="200"/>
        <w:rPr>
          <w:rFonts w:ascii="宋体" w:hAnsi="宋体"/>
          <w:sz w:val="24"/>
        </w:rPr>
      </w:pPr>
      <w:r>
        <w:rPr>
          <w:rFonts w:hint="eastAsia" w:ascii="宋体" w:hAnsi="宋体"/>
          <w:sz w:val="24"/>
        </w:rPr>
        <w:t>——法律地位的证明文件（营业执照原件）。</w:t>
      </w:r>
    </w:p>
    <w:p>
      <w:pPr>
        <w:spacing w:line="360" w:lineRule="auto"/>
        <w:ind w:firstLine="480" w:firstLineChars="200"/>
        <w:rPr>
          <w:rFonts w:ascii="宋体" w:hAnsi="宋体"/>
          <w:sz w:val="24"/>
        </w:rPr>
      </w:pPr>
      <w:r>
        <w:rPr>
          <w:rFonts w:hint="eastAsia" w:ascii="宋体" w:hAnsi="宋体"/>
          <w:sz w:val="24"/>
        </w:rPr>
        <w:t>——单位负责人任命或者聘用文件。</w:t>
      </w:r>
    </w:p>
    <w:p>
      <w:pPr>
        <w:spacing w:line="360" w:lineRule="auto"/>
        <w:ind w:firstLine="480" w:firstLineChars="200"/>
        <w:rPr>
          <w:rFonts w:ascii="宋体" w:hAnsi="宋体"/>
          <w:sz w:val="24"/>
        </w:rPr>
      </w:pPr>
      <w:r>
        <w:rPr>
          <w:rFonts w:hint="eastAsia" w:ascii="宋体" w:hAnsi="宋体"/>
          <w:sz w:val="24"/>
        </w:rPr>
        <w:t>——对于许可证变更与延续，还应当准备现有的许可证书、变更申请或延期申请的批复。</w:t>
      </w:r>
    </w:p>
    <w:p>
      <w:pPr>
        <w:spacing w:line="360" w:lineRule="auto"/>
        <w:ind w:firstLine="480" w:firstLineChars="200"/>
        <w:rPr>
          <w:rFonts w:ascii="宋体" w:hAnsi="宋体"/>
          <w:sz w:val="24"/>
        </w:rPr>
      </w:pPr>
      <w:r>
        <w:rPr>
          <w:rFonts w:hint="eastAsia" w:ascii="宋体" w:hAnsi="宋体"/>
          <w:sz w:val="24"/>
        </w:rPr>
        <w:t>4.2.2机构规模方面</w:t>
      </w:r>
    </w:p>
    <w:p>
      <w:pPr>
        <w:spacing w:line="360" w:lineRule="auto"/>
        <w:ind w:firstLine="480" w:firstLineChars="200"/>
        <w:rPr>
          <w:rFonts w:ascii="宋体" w:hAnsi="宋体"/>
          <w:sz w:val="24"/>
        </w:rPr>
      </w:pPr>
      <w:r>
        <w:rPr>
          <w:rFonts w:hint="eastAsia" w:ascii="宋体" w:hAnsi="宋体"/>
          <w:sz w:val="24"/>
        </w:rPr>
        <w:t>4.2.2.1质量保证体系人员任命文件</w:t>
      </w:r>
    </w:p>
    <w:p>
      <w:pPr>
        <w:spacing w:line="360" w:lineRule="auto"/>
        <w:ind w:firstLine="480" w:firstLineChars="200"/>
        <w:rPr>
          <w:rFonts w:ascii="宋体" w:hAnsi="宋体" w:cs="宋体"/>
          <w:bCs/>
          <w:sz w:val="24"/>
        </w:rPr>
      </w:pPr>
      <w:r>
        <w:rPr>
          <w:rFonts w:hint="eastAsia" w:ascii="宋体" w:hAnsi="宋体"/>
          <w:sz w:val="24"/>
        </w:rPr>
        <w:t>制造单位应当根据产品制造</w:t>
      </w:r>
      <w:r>
        <w:rPr>
          <w:rFonts w:hint="eastAsia" w:ascii="宋体" w:hAnsi="宋体" w:cs="宋体"/>
          <w:bCs/>
          <w:sz w:val="24"/>
        </w:rPr>
        <w:t>过程的需要，配备并且任命质量保证工程师，以及设计、工艺、材料、焊接、热处理、无损检测、检验与试验、理化检验等过程的质量控制系统责任人员。</w:t>
      </w:r>
    </w:p>
    <w:p>
      <w:pPr>
        <w:spacing w:line="360" w:lineRule="auto"/>
        <w:ind w:firstLine="480" w:firstLineChars="200"/>
        <w:jc w:val="left"/>
        <w:rPr>
          <w:rFonts w:ascii="宋体" w:hAnsi="宋体" w:cs="宋体"/>
          <w:bCs/>
          <w:sz w:val="24"/>
        </w:rPr>
      </w:pPr>
      <w:r>
        <w:rPr>
          <w:rFonts w:hint="eastAsia" w:ascii="宋体" w:hAnsi="宋体" w:cs="宋体"/>
          <w:bCs/>
          <w:sz w:val="24"/>
        </w:rPr>
        <w:t>质量保证体系人员任职要求如下：</w:t>
      </w:r>
    </w:p>
    <w:p>
      <w:pPr>
        <w:spacing w:line="360" w:lineRule="auto"/>
        <w:ind w:firstLine="480" w:firstLineChars="200"/>
        <w:jc w:val="left"/>
        <w:rPr>
          <w:rFonts w:ascii="宋体" w:hAnsi="宋体" w:cs="宋体"/>
          <w:bCs/>
          <w:sz w:val="24"/>
        </w:rPr>
      </w:pPr>
      <w:r>
        <w:rPr>
          <w:rFonts w:hint="eastAsia" w:ascii="宋体" w:hAnsi="宋体" w:cs="宋体"/>
          <w:bCs/>
          <w:sz w:val="24"/>
        </w:rPr>
        <w:t>(1)质量保证工程师，具有锅炉制造质量管理或者检验工作经历、理工类专业教育背景和工程师职称；</w:t>
      </w:r>
    </w:p>
    <w:p>
      <w:pPr>
        <w:spacing w:line="360" w:lineRule="auto"/>
        <w:ind w:firstLine="480" w:firstLineChars="200"/>
        <w:jc w:val="left"/>
        <w:rPr>
          <w:rFonts w:ascii="宋体" w:hAnsi="宋体" w:cs="宋体"/>
          <w:bCs/>
          <w:sz w:val="24"/>
        </w:rPr>
      </w:pPr>
      <w:r>
        <w:rPr>
          <w:rFonts w:hint="eastAsia" w:ascii="宋体" w:hAnsi="宋体" w:cs="宋体"/>
          <w:bCs/>
          <w:sz w:val="24"/>
        </w:rPr>
        <w:t>(2)设计质量控制系统责任人员，具有锅炉设计工作经历和锅炉相关专业教育背景；</w:t>
      </w:r>
    </w:p>
    <w:p>
      <w:pPr>
        <w:spacing w:line="360" w:lineRule="auto"/>
        <w:ind w:firstLine="480" w:firstLineChars="200"/>
        <w:jc w:val="left"/>
        <w:rPr>
          <w:rFonts w:ascii="宋体" w:hAnsi="宋体" w:cs="宋体"/>
          <w:bCs/>
          <w:sz w:val="24"/>
        </w:rPr>
      </w:pPr>
      <w:r>
        <w:rPr>
          <w:rFonts w:hint="eastAsia" w:ascii="宋体" w:hAnsi="宋体" w:cs="宋体"/>
          <w:bCs/>
          <w:sz w:val="24"/>
        </w:rPr>
        <w:t>(3)焊接质量控制系统责任人员，具有焊接工作经历和焊接或者焊接相关专业(材料、机械类专业)教育背景；</w:t>
      </w:r>
    </w:p>
    <w:p>
      <w:pPr>
        <w:spacing w:line="360" w:lineRule="auto"/>
        <w:ind w:firstLine="480" w:firstLineChars="200"/>
        <w:jc w:val="left"/>
        <w:rPr>
          <w:rFonts w:ascii="宋体" w:hAnsi="宋体" w:cs="宋体"/>
          <w:bCs/>
          <w:sz w:val="24"/>
        </w:rPr>
      </w:pPr>
      <w:r>
        <w:rPr>
          <w:rFonts w:hint="eastAsia" w:ascii="宋体" w:hAnsi="宋体" w:cs="宋体"/>
          <w:bCs/>
          <w:sz w:val="24"/>
        </w:rPr>
        <w:t>(4)检验与试验质量控制系统责任人员，具有锅炉产品检验工作经历和理工类专业教育背景；</w:t>
      </w:r>
    </w:p>
    <w:p>
      <w:pPr>
        <w:spacing w:line="360" w:lineRule="auto"/>
        <w:ind w:firstLine="480" w:firstLineChars="200"/>
        <w:jc w:val="left"/>
        <w:rPr>
          <w:rFonts w:ascii="宋体" w:hAnsi="宋体" w:cs="宋体"/>
          <w:bCs/>
          <w:sz w:val="24"/>
        </w:rPr>
      </w:pPr>
      <w:r>
        <w:rPr>
          <w:rFonts w:hint="eastAsia" w:ascii="宋体" w:hAnsi="宋体" w:cs="宋体"/>
          <w:bCs/>
          <w:sz w:val="24"/>
        </w:rPr>
        <w:t>(5)其他质量控制系统责任人员，具有所负责工作的经历和理工类专业教育背景；</w:t>
      </w:r>
    </w:p>
    <w:p>
      <w:pPr>
        <w:spacing w:line="360" w:lineRule="auto"/>
        <w:ind w:firstLine="480" w:firstLineChars="200"/>
        <w:jc w:val="left"/>
        <w:rPr>
          <w:rFonts w:ascii="宋体" w:hAnsi="宋体" w:cs="宋体"/>
          <w:bCs/>
          <w:sz w:val="24"/>
        </w:rPr>
      </w:pPr>
      <w:r>
        <w:rPr>
          <w:rFonts w:hint="eastAsia" w:ascii="宋体" w:hAnsi="宋体" w:cs="宋体"/>
          <w:bCs/>
          <w:sz w:val="24"/>
        </w:rPr>
        <w:t>(6)材料与理化质量控制系统责任人员不得相互兼任，焊接与无损检测质量控制系统责任人员不得相互兼任。</w:t>
      </w:r>
    </w:p>
    <w:p>
      <w:pPr>
        <w:spacing w:line="360" w:lineRule="auto"/>
        <w:ind w:firstLine="480" w:firstLineChars="200"/>
        <w:jc w:val="left"/>
        <w:rPr>
          <w:rFonts w:ascii="宋体" w:hAnsi="宋体" w:cs="宋体"/>
          <w:bCs/>
          <w:sz w:val="24"/>
        </w:rPr>
      </w:pPr>
      <w:r>
        <w:rPr>
          <w:rFonts w:hint="eastAsia" w:ascii="宋体" w:hAnsi="宋体" w:cs="宋体"/>
          <w:bCs/>
          <w:sz w:val="24"/>
        </w:rPr>
        <w:t>4.2.2.2 技术人员名单</w:t>
      </w:r>
    </w:p>
    <w:p>
      <w:pPr>
        <w:spacing w:line="360" w:lineRule="auto"/>
        <w:ind w:firstLine="480" w:firstLineChars="200"/>
        <w:jc w:val="left"/>
        <w:rPr>
          <w:rFonts w:ascii="宋体" w:hAnsi="宋体" w:cs="宋体"/>
          <w:bCs/>
          <w:sz w:val="24"/>
        </w:rPr>
      </w:pPr>
      <w:r>
        <w:rPr>
          <w:rFonts w:hint="eastAsia" w:ascii="宋体" w:hAnsi="宋体" w:cs="宋体"/>
          <w:bCs/>
          <w:sz w:val="24"/>
        </w:rPr>
        <w:t>制造单位技术人员数量应当符合表2-1 的要求。</w:t>
      </w:r>
    </w:p>
    <w:p>
      <w:pPr>
        <w:spacing w:line="360" w:lineRule="auto"/>
        <w:jc w:val="center"/>
        <w:rPr>
          <w:rFonts w:ascii="宋体" w:hAnsi="宋体" w:cs="宋体"/>
          <w:bCs/>
          <w:sz w:val="24"/>
        </w:rPr>
      </w:pPr>
      <w:r>
        <w:rPr>
          <w:rFonts w:hint="eastAsia" w:ascii="宋体" w:hAnsi="宋体" w:cs="宋体"/>
          <w:bCs/>
          <w:sz w:val="24"/>
        </w:rPr>
        <w:t>表2-1  技术人员数量</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8"/>
        <w:gridCol w:w="2268"/>
        <w:gridCol w:w="2268"/>
        <w:gridCol w:w="2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98" w:type="dxa"/>
            <w:vAlign w:val="center"/>
          </w:tcPr>
          <w:p>
            <w:pPr>
              <w:spacing w:line="360" w:lineRule="auto"/>
              <w:jc w:val="center"/>
              <w:rPr>
                <w:rFonts w:ascii="宋体" w:hAnsi="宋体" w:cs="宋体"/>
                <w:bCs/>
                <w:szCs w:val="21"/>
              </w:rPr>
            </w:pPr>
            <w:r>
              <w:rPr>
                <w:rFonts w:hint="eastAsia" w:ascii="宋体" w:hAnsi="宋体" w:cs="宋体"/>
                <w:bCs/>
                <w:szCs w:val="21"/>
              </w:rPr>
              <w:t>许可级别</w:t>
            </w:r>
          </w:p>
        </w:tc>
        <w:tc>
          <w:tcPr>
            <w:tcW w:w="2268" w:type="dxa"/>
            <w:vAlign w:val="center"/>
          </w:tcPr>
          <w:p>
            <w:pPr>
              <w:spacing w:line="360" w:lineRule="auto"/>
              <w:jc w:val="center"/>
              <w:rPr>
                <w:rFonts w:ascii="宋体" w:hAnsi="宋体" w:cs="宋体"/>
                <w:bCs/>
                <w:szCs w:val="21"/>
              </w:rPr>
            </w:pPr>
            <w:r>
              <w:rPr>
                <w:rFonts w:hint="eastAsia" w:ascii="宋体" w:hAnsi="宋体" w:cs="宋体"/>
                <w:bCs/>
                <w:szCs w:val="21"/>
              </w:rPr>
              <w:t>锅炉相关专业（人）</w:t>
            </w:r>
          </w:p>
        </w:tc>
        <w:tc>
          <w:tcPr>
            <w:tcW w:w="2268" w:type="dxa"/>
            <w:vAlign w:val="center"/>
          </w:tcPr>
          <w:p>
            <w:pPr>
              <w:spacing w:line="360" w:lineRule="auto"/>
              <w:jc w:val="center"/>
              <w:rPr>
                <w:rFonts w:ascii="宋体" w:hAnsi="宋体" w:cs="宋体"/>
                <w:bCs/>
                <w:szCs w:val="21"/>
              </w:rPr>
            </w:pPr>
            <w:r>
              <w:rPr>
                <w:rFonts w:hint="eastAsia" w:ascii="宋体" w:hAnsi="宋体" w:cs="宋体"/>
                <w:bCs/>
                <w:szCs w:val="21"/>
              </w:rPr>
              <w:t>焊接相关专业（人）</w:t>
            </w:r>
          </w:p>
        </w:tc>
        <w:tc>
          <w:tcPr>
            <w:tcW w:w="2196" w:type="dxa"/>
            <w:vAlign w:val="center"/>
          </w:tcPr>
          <w:p>
            <w:pPr>
              <w:spacing w:line="360" w:lineRule="auto"/>
              <w:jc w:val="center"/>
              <w:rPr>
                <w:rFonts w:ascii="宋体" w:hAnsi="宋体" w:cs="宋体"/>
                <w:bCs/>
                <w:szCs w:val="21"/>
              </w:rPr>
            </w:pPr>
            <w:r>
              <w:rPr>
                <w:rFonts w:hint="eastAsia" w:ascii="宋体" w:hAnsi="宋体" w:cs="宋体"/>
                <w:bCs/>
                <w:szCs w:val="21"/>
              </w:rPr>
              <w:t>技术人员总数（人）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98" w:type="dxa"/>
            <w:vAlign w:val="center"/>
          </w:tcPr>
          <w:p>
            <w:pPr>
              <w:spacing w:line="360" w:lineRule="auto"/>
              <w:jc w:val="center"/>
              <w:rPr>
                <w:rFonts w:ascii="宋体" w:hAnsi="宋体" w:cs="宋体"/>
                <w:bCs/>
                <w:szCs w:val="21"/>
              </w:rPr>
            </w:pPr>
            <w:r>
              <w:rPr>
                <w:rFonts w:hint="eastAsia" w:ascii="宋体" w:hAnsi="宋体" w:cs="宋体"/>
                <w:bCs/>
                <w:szCs w:val="21"/>
              </w:rPr>
              <w:t>B</w:t>
            </w:r>
          </w:p>
        </w:tc>
        <w:tc>
          <w:tcPr>
            <w:tcW w:w="2268" w:type="dxa"/>
            <w:vAlign w:val="center"/>
          </w:tcPr>
          <w:p>
            <w:pPr>
              <w:spacing w:line="360" w:lineRule="auto"/>
              <w:jc w:val="center"/>
              <w:rPr>
                <w:rFonts w:ascii="宋体" w:hAnsi="宋体" w:cs="宋体"/>
                <w:bCs/>
                <w:szCs w:val="21"/>
              </w:rPr>
            </w:pPr>
            <w:r>
              <w:rPr>
                <w:rFonts w:hint="eastAsia" w:ascii="宋体" w:hAnsi="宋体" w:cs="宋体"/>
                <w:bCs/>
                <w:szCs w:val="21"/>
              </w:rPr>
              <w:t>2</w:t>
            </w:r>
          </w:p>
        </w:tc>
        <w:tc>
          <w:tcPr>
            <w:tcW w:w="2268" w:type="dxa"/>
            <w:vAlign w:val="center"/>
          </w:tcPr>
          <w:p>
            <w:pPr>
              <w:spacing w:line="360" w:lineRule="auto"/>
              <w:jc w:val="center"/>
              <w:rPr>
                <w:rFonts w:ascii="宋体" w:hAnsi="宋体" w:cs="宋体"/>
                <w:bCs/>
                <w:szCs w:val="21"/>
              </w:rPr>
            </w:pPr>
            <w:r>
              <w:rPr>
                <w:rFonts w:hint="eastAsia" w:ascii="宋体" w:hAnsi="宋体" w:cs="宋体"/>
                <w:bCs/>
                <w:szCs w:val="21"/>
              </w:rPr>
              <w:t>1</w:t>
            </w:r>
          </w:p>
        </w:tc>
        <w:tc>
          <w:tcPr>
            <w:tcW w:w="2196" w:type="dxa"/>
            <w:vAlign w:val="center"/>
          </w:tcPr>
          <w:p>
            <w:pPr>
              <w:spacing w:line="360" w:lineRule="auto"/>
              <w:jc w:val="center"/>
              <w:rPr>
                <w:rFonts w:ascii="宋体" w:hAnsi="宋体" w:cs="宋体"/>
                <w:bCs/>
                <w:szCs w:val="21"/>
              </w:rPr>
            </w:pPr>
            <w:r>
              <w:rPr>
                <w:rFonts w:hint="eastAsia" w:ascii="宋体" w:hAnsi="宋体" w:cs="宋体"/>
                <w:bCs/>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98" w:type="dxa"/>
            <w:vAlign w:val="center"/>
          </w:tcPr>
          <w:p>
            <w:pPr>
              <w:spacing w:line="360" w:lineRule="auto"/>
              <w:jc w:val="center"/>
              <w:rPr>
                <w:rFonts w:ascii="宋体" w:hAnsi="宋体" w:cs="宋体"/>
                <w:bCs/>
                <w:szCs w:val="21"/>
              </w:rPr>
            </w:pPr>
            <w:r>
              <w:rPr>
                <w:rFonts w:hint="eastAsia" w:ascii="宋体" w:hAnsi="宋体" w:cs="宋体"/>
                <w:bCs/>
                <w:szCs w:val="21"/>
              </w:rPr>
              <w:t>A级部件</w:t>
            </w:r>
          </w:p>
        </w:tc>
        <w:tc>
          <w:tcPr>
            <w:tcW w:w="2268" w:type="dxa"/>
            <w:vAlign w:val="center"/>
          </w:tcPr>
          <w:p>
            <w:pPr>
              <w:spacing w:line="360" w:lineRule="auto"/>
              <w:jc w:val="center"/>
              <w:rPr>
                <w:rFonts w:ascii="宋体" w:hAnsi="宋体" w:cs="宋体"/>
                <w:bCs/>
                <w:szCs w:val="21"/>
              </w:rPr>
            </w:pPr>
            <w:r>
              <w:rPr>
                <w:rFonts w:hint="eastAsia" w:ascii="宋体" w:hAnsi="宋体" w:cs="宋体"/>
                <w:bCs/>
                <w:szCs w:val="21"/>
              </w:rPr>
              <w:t>1</w:t>
            </w:r>
          </w:p>
        </w:tc>
        <w:tc>
          <w:tcPr>
            <w:tcW w:w="2268" w:type="dxa"/>
            <w:vAlign w:val="center"/>
          </w:tcPr>
          <w:p>
            <w:pPr>
              <w:spacing w:line="360" w:lineRule="auto"/>
              <w:jc w:val="center"/>
              <w:rPr>
                <w:rFonts w:ascii="宋体" w:hAnsi="宋体" w:cs="宋体"/>
                <w:bCs/>
                <w:szCs w:val="21"/>
              </w:rPr>
            </w:pPr>
            <w:r>
              <w:rPr>
                <w:rFonts w:hint="eastAsia" w:ascii="宋体" w:hAnsi="宋体" w:cs="宋体"/>
                <w:bCs/>
                <w:szCs w:val="21"/>
              </w:rPr>
              <w:t>1</w:t>
            </w:r>
          </w:p>
        </w:tc>
        <w:tc>
          <w:tcPr>
            <w:tcW w:w="2196" w:type="dxa"/>
            <w:vAlign w:val="center"/>
          </w:tcPr>
          <w:p>
            <w:pPr>
              <w:spacing w:line="360" w:lineRule="auto"/>
              <w:jc w:val="center"/>
              <w:rPr>
                <w:rFonts w:ascii="宋体" w:hAnsi="宋体" w:cs="宋体"/>
                <w:bCs/>
                <w:szCs w:val="21"/>
              </w:rPr>
            </w:pPr>
            <w:r>
              <w:rPr>
                <w:rFonts w:hint="eastAsia" w:ascii="宋体" w:hAnsi="宋体" w:cs="宋体"/>
                <w:bCs/>
                <w:szCs w:val="21"/>
              </w:rPr>
              <w:t>5</w:t>
            </w:r>
          </w:p>
        </w:tc>
      </w:tr>
    </w:tbl>
    <w:p>
      <w:pPr>
        <w:spacing w:line="360" w:lineRule="auto"/>
        <w:ind w:firstLine="480" w:firstLineChars="200"/>
        <w:jc w:val="left"/>
        <w:rPr>
          <w:rFonts w:ascii="宋体" w:hAnsi="宋体" w:cs="宋体"/>
          <w:bCs/>
          <w:sz w:val="24"/>
        </w:rPr>
      </w:pPr>
      <w:r>
        <w:rPr>
          <w:rFonts w:hint="eastAsia" w:ascii="宋体" w:hAnsi="宋体" w:cs="宋体"/>
          <w:bCs/>
          <w:sz w:val="24"/>
        </w:rPr>
        <w:t>4.2.2.3焊接作业人员</w:t>
      </w:r>
    </w:p>
    <w:p>
      <w:pPr>
        <w:spacing w:line="360" w:lineRule="auto"/>
        <w:ind w:firstLine="480" w:firstLineChars="200"/>
        <w:jc w:val="left"/>
        <w:rPr>
          <w:rFonts w:ascii="宋体" w:hAnsi="宋体" w:cs="宋体"/>
          <w:bCs/>
          <w:sz w:val="24"/>
        </w:rPr>
      </w:pPr>
      <w:r>
        <w:rPr>
          <w:rFonts w:hint="eastAsia" w:ascii="宋体" w:hAnsi="宋体" w:cs="宋体"/>
          <w:bCs/>
          <w:sz w:val="24"/>
        </w:rPr>
        <w:t>制造单位应当配备具备相应资格的持证焊接作业人员（以下简称焊工），焊工的持证项目及数量应当满足产品制造需要。采用焊接机器人的，其焊接项目可以记入焊工的人项数。</w:t>
      </w:r>
    </w:p>
    <w:p>
      <w:pPr>
        <w:spacing w:line="360" w:lineRule="auto"/>
        <w:ind w:firstLine="480" w:firstLineChars="200"/>
        <w:jc w:val="left"/>
        <w:rPr>
          <w:rFonts w:ascii="宋体" w:hAnsi="宋体" w:cs="宋体"/>
          <w:bCs/>
          <w:sz w:val="24"/>
        </w:rPr>
      </w:pPr>
      <w:r>
        <w:rPr>
          <w:rFonts w:hint="eastAsia" w:ascii="宋体" w:hAnsi="宋体" w:cs="宋体"/>
          <w:bCs/>
          <w:sz w:val="24"/>
        </w:rPr>
        <w:t>申请B级锅炉制造的单位，焊工持证项目至少包括埋弧自动焊、气体保护焊和焊条电弧焊等焊接方法，焊工持证项目一般不少于30人项。</w:t>
      </w:r>
    </w:p>
    <w:p>
      <w:pPr>
        <w:spacing w:line="360" w:lineRule="auto"/>
        <w:ind w:firstLine="480" w:firstLineChars="200"/>
        <w:jc w:val="left"/>
        <w:rPr>
          <w:rFonts w:ascii="宋体" w:hAnsi="宋体" w:cs="宋体"/>
          <w:bCs/>
          <w:sz w:val="24"/>
        </w:rPr>
      </w:pPr>
      <w:r>
        <w:rPr>
          <w:rFonts w:hint="eastAsia" w:ascii="宋体" w:hAnsi="宋体" w:cs="宋体"/>
          <w:bCs/>
          <w:sz w:val="24"/>
        </w:rPr>
        <w:t>申请A级锅炉部件制造的单位，焊工持证项目一般不少于20人项，制造3个以上A级部件单位的焊工持证项目一般不少于50人项。</w:t>
      </w:r>
    </w:p>
    <w:p>
      <w:pPr>
        <w:spacing w:line="360" w:lineRule="auto"/>
        <w:ind w:firstLine="480" w:firstLineChars="200"/>
        <w:jc w:val="left"/>
        <w:rPr>
          <w:rFonts w:ascii="宋体" w:hAnsi="宋体" w:cs="宋体"/>
          <w:bCs/>
          <w:sz w:val="24"/>
        </w:rPr>
      </w:pPr>
      <w:r>
        <w:rPr>
          <w:rFonts w:hint="eastAsia" w:ascii="宋体" w:hAnsi="宋体" w:cs="宋体"/>
          <w:bCs/>
          <w:sz w:val="24"/>
        </w:rPr>
        <w:t>申请B级锅炉制造的单位，配备专职检验人员不少于2人；申请A级锅炉部件制造的单位，配备A级锅炉部件产品制造需要的金相检验和理化检验人员，配备专职检验人员不少于3人。</w:t>
      </w:r>
    </w:p>
    <w:p>
      <w:pPr>
        <w:spacing w:line="360" w:lineRule="auto"/>
        <w:ind w:firstLine="480" w:firstLineChars="200"/>
        <w:jc w:val="left"/>
        <w:rPr>
          <w:rFonts w:ascii="宋体" w:hAnsi="宋体" w:cs="宋体"/>
          <w:bCs/>
          <w:sz w:val="24"/>
        </w:rPr>
      </w:pPr>
      <w:r>
        <w:rPr>
          <w:rFonts w:hint="eastAsia" w:ascii="宋体" w:hAnsi="宋体" w:cs="宋体"/>
          <w:bCs/>
          <w:sz w:val="24"/>
        </w:rPr>
        <w:t>4.2.2.4无损检测人员</w:t>
      </w:r>
    </w:p>
    <w:p>
      <w:pPr>
        <w:spacing w:line="360" w:lineRule="auto"/>
        <w:ind w:firstLine="480" w:firstLineChars="200"/>
        <w:jc w:val="left"/>
        <w:rPr>
          <w:rFonts w:ascii="宋体" w:hAnsi="宋体" w:cs="宋体"/>
          <w:bCs/>
          <w:sz w:val="24"/>
        </w:rPr>
      </w:pPr>
      <w:r>
        <w:rPr>
          <w:rFonts w:hint="eastAsia" w:ascii="宋体" w:hAnsi="宋体" w:cs="宋体"/>
          <w:bCs/>
          <w:sz w:val="24"/>
        </w:rPr>
        <w:t>无损检测人员应当具备特种设备无损检测人员资格,并且注册到执业单位(下同)。无损检测人员持证项目和数量应当满足实际产品的检测要求，并且符合表 2的要求。采用衍射时差法超声检测(TOFD)的制造单位，应当配备 TOFDⅡ级人员不少于 2 人。</w:t>
      </w:r>
    </w:p>
    <w:p>
      <w:pPr>
        <w:adjustRightInd w:val="0"/>
        <w:snapToGrid w:val="0"/>
        <w:spacing w:line="360" w:lineRule="auto"/>
        <w:ind w:right="-680"/>
        <w:jc w:val="center"/>
        <w:rPr>
          <w:rFonts w:ascii="宋体" w:hAnsi="宋体" w:cs="宋体"/>
          <w:bCs/>
          <w:sz w:val="24"/>
        </w:rPr>
      </w:pPr>
      <w:r>
        <w:rPr>
          <w:rFonts w:hint="eastAsia" w:ascii="宋体" w:hAnsi="宋体" w:cs="宋体"/>
          <w:bCs/>
          <w:sz w:val="24"/>
        </w:rPr>
        <w:t>表2-2 无损检测人员持证项目和数量</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878"/>
        <w:gridCol w:w="3118"/>
        <w:gridCol w:w="1418"/>
        <w:gridCol w:w="1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dxa"/>
            <w:vMerge w:val="restart"/>
            <w:vAlign w:val="center"/>
          </w:tcPr>
          <w:p>
            <w:pPr>
              <w:spacing w:line="360" w:lineRule="auto"/>
              <w:jc w:val="center"/>
              <w:rPr>
                <w:rFonts w:ascii="宋体" w:hAnsi="宋体" w:cs="宋体"/>
                <w:bCs/>
                <w:szCs w:val="21"/>
              </w:rPr>
            </w:pPr>
            <w:r>
              <w:rPr>
                <w:rFonts w:hint="eastAsia" w:ascii="宋体" w:hAnsi="宋体" w:cs="宋体"/>
                <w:bCs/>
                <w:szCs w:val="21"/>
              </w:rPr>
              <w:t>许可级别</w:t>
            </w:r>
          </w:p>
        </w:tc>
        <w:tc>
          <w:tcPr>
            <w:tcW w:w="1878" w:type="dxa"/>
            <w:vMerge w:val="restart"/>
            <w:vAlign w:val="center"/>
          </w:tcPr>
          <w:p>
            <w:pPr>
              <w:spacing w:line="360" w:lineRule="auto"/>
              <w:jc w:val="center"/>
              <w:rPr>
                <w:rFonts w:ascii="宋体" w:hAnsi="宋体" w:cs="宋体"/>
                <w:bCs/>
                <w:szCs w:val="21"/>
              </w:rPr>
            </w:pPr>
            <w:r>
              <w:rPr>
                <w:rFonts w:hint="eastAsia" w:ascii="宋体" w:hAnsi="宋体" w:cs="宋体"/>
                <w:bCs/>
                <w:szCs w:val="21"/>
              </w:rPr>
              <w:t>制造许可范围</w:t>
            </w:r>
          </w:p>
        </w:tc>
        <w:tc>
          <w:tcPr>
            <w:tcW w:w="3118" w:type="dxa"/>
            <w:vMerge w:val="restart"/>
            <w:vAlign w:val="center"/>
          </w:tcPr>
          <w:p>
            <w:pPr>
              <w:spacing w:line="360" w:lineRule="auto"/>
              <w:jc w:val="center"/>
              <w:rPr>
                <w:rFonts w:ascii="宋体" w:hAnsi="宋体" w:cs="宋体"/>
                <w:bCs/>
                <w:szCs w:val="21"/>
              </w:rPr>
            </w:pPr>
            <w:r>
              <w:rPr>
                <w:rFonts w:hint="eastAsia" w:ascii="宋体" w:hAnsi="宋体" w:cs="宋体"/>
                <w:bCs/>
                <w:szCs w:val="21"/>
              </w:rPr>
              <w:t>无损检测质量控制系统责任人员（注1）</w:t>
            </w:r>
          </w:p>
        </w:tc>
        <w:tc>
          <w:tcPr>
            <w:tcW w:w="3235" w:type="dxa"/>
            <w:gridSpan w:val="2"/>
            <w:vAlign w:val="bottom"/>
          </w:tcPr>
          <w:p>
            <w:pPr>
              <w:spacing w:line="360" w:lineRule="auto"/>
              <w:jc w:val="center"/>
              <w:rPr>
                <w:rFonts w:ascii="宋体" w:hAnsi="宋体" w:cs="宋体"/>
                <w:bCs/>
                <w:szCs w:val="21"/>
              </w:rPr>
            </w:pPr>
            <w:r>
              <w:rPr>
                <w:rFonts w:hint="eastAsia" w:ascii="宋体" w:hAnsi="宋体" w:cs="宋体"/>
                <w:bCs/>
                <w:szCs w:val="21"/>
              </w:rPr>
              <w:t>无损检测人员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dxa"/>
            <w:vMerge w:val="continue"/>
            <w:vAlign w:val="center"/>
          </w:tcPr>
          <w:p>
            <w:pPr>
              <w:spacing w:line="360" w:lineRule="auto"/>
              <w:jc w:val="center"/>
              <w:rPr>
                <w:rFonts w:ascii="宋体" w:hAnsi="宋体" w:cs="宋体"/>
                <w:bCs/>
                <w:szCs w:val="21"/>
              </w:rPr>
            </w:pPr>
          </w:p>
        </w:tc>
        <w:tc>
          <w:tcPr>
            <w:tcW w:w="1878" w:type="dxa"/>
            <w:vMerge w:val="continue"/>
            <w:vAlign w:val="center"/>
          </w:tcPr>
          <w:p>
            <w:pPr>
              <w:spacing w:line="360" w:lineRule="auto"/>
              <w:jc w:val="center"/>
              <w:rPr>
                <w:rFonts w:ascii="宋体" w:hAnsi="宋体" w:cs="宋体"/>
                <w:bCs/>
                <w:szCs w:val="21"/>
              </w:rPr>
            </w:pPr>
          </w:p>
        </w:tc>
        <w:tc>
          <w:tcPr>
            <w:tcW w:w="3118" w:type="dxa"/>
            <w:vMerge w:val="continue"/>
            <w:vAlign w:val="center"/>
          </w:tcPr>
          <w:p>
            <w:pPr>
              <w:spacing w:line="360" w:lineRule="auto"/>
              <w:jc w:val="center"/>
              <w:rPr>
                <w:rFonts w:ascii="宋体" w:hAnsi="宋体" w:cs="宋体"/>
                <w:bCs/>
                <w:szCs w:val="21"/>
              </w:rPr>
            </w:pPr>
          </w:p>
        </w:tc>
        <w:tc>
          <w:tcPr>
            <w:tcW w:w="1418" w:type="dxa"/>
            <w:vAlign w:val="center"/>
          </w:tcPr>
          <w:p>
            <w:pPr>
              <w:spacing w:line="360" w:lineRule="auto"/>
              <w:jc w:val="center"/>
              <w:rPr>
                <w:rFonts w:ascii="宋体" w:hAnsi="宋体" w:cs="宋体"/>
                <w:bCs/>
                <w:szCs w:val="21"/>
              </w:rPr>
            </w:pPr>
            <w:r>
              <w:rPr>
                <w:rFonts w:hint="eastAsia" w:ascii="宋体" w:hAnsi="宋体" w:cs="宋体"/>
                <w:bCs/>
                <w:szCs w:val="21"/>
              </w:rPr>
              <w:t>持证项目</w:t>
            </w:r>
          </w:p>
        </w:tc>
        <w:tc>
          <w:tcPr>
            <w:tcW w:w="1817" w:type="dxa"/>
            <w:vAlign w:val="center"/>
          </w:tcPr>
          <w:p>
            <w:pPr>
              <w:spacing w:line="360" w:lineRule="auto"/>
              <w:jc w:val="center"/>
              <w:rPr>
                <w:rFonts w:ascii="宋体" w:hAnsi="宋体" w:cs="宋体"/>
                <w:bCs/>
                <w:szCs w:val="21"/>
              </w:rPr>
            </w:pPr>
            <w:r>
              <w:rPr>
                <w:rFonts w:hint="eastAsia" w:ascii="宋体" w:hAnsi="宋体" w:cs="宋体"/>
                <w:bCs/>
                <w:szCs w:val="21"/>
              </w:rPr>
              <w:t>数量（人）（注2）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dxa"/>
            <w:vMerge w:val="restart"/>
            <w:vAlign w:val="center"/>
          </w:tcPr>
          <w:p>
            <w:pPr>
              <w:spacing w:line="360" w:lineRule="auto"/>
              <w:jc w:val="center"/>
              <w:rPr>
                <w:rFonts w:ascii="宋体" w:hAnsi="宋体" w:cs="宋体"/>
                <w:bCs/>
                <w:szCs w:val="21"/>
              </w:rPr>
            </w:pPr>
            <w:r>
              <w:rPr>
                <w:rFonts w:hint="eastAsia" w:ascii="宋体" w:hAnsi="宋体" w:cs="宋体"/>
                <w:bCs/>
                <w:szCs w:val="21"/>
              </w:rPr>
              <w:t>A级部件</w:t>
            </w:r>
          </w:p>
        </w:tc>
        <w:tc>
          <w:tcPr>
            <w:tcW w:w="1878" w:type="dxa"/>
            <w:vMerge w:val="restart"/>
            <w:vAlign w:val="center"/>
          </w:tcPr>
          <w:p>
            <w:pPr>
              <w:spacing w:line="360" w:lineRule="auto"/>
              <w:jc w:val="center"/>
              <w:rPr>
                <w:rFonts w:ascii="宋体" w:hAnsi="宋体" w:cs="宋体"/>
                <w:bCs/>
                <w:szCs w:val="21"/>
              </w:rPr>
            </w:pPr>
            <w:r>
              <w:rPr>
                <w:rFonts w:hint="eastAsia" w:ascii="宋体" w:hAnsi="宋体" w:cs="宋体"/>
                <w:bCs/>
                <w:szCs w:val="21"/>
              </w:rPr>
              <w:t>锅筒、集箱或者锅炉范围内管道</w:t>
            </w:r>
          </w:p>
        </w:tc>
        <w:tc>
          <w:tcPr>
            <w:tcW w:w="3118" w:type="dxa"/>
            <w:vMerge w:val="restart"/>
            <w:vAlign w:val="center"/>
          </w:tcPr>
          <w:p>
            <w:pPr>
              <w:spacing w:line="360" w:lineRule="auto"/>
              <w:jc w:val="center"/>
              <w:rPr>
                <w:rFonts w:ascii="宋体" w:hAnsi="宋体" w:cs="宋体"/>
                <w:bCs/>
                <w:szCs w:val="21"/>
              </w:rPr>
            </w:pPr>
            <w:r>
              <w:rPr>
                <w:rFonts w:hint="eastAsia" w:ascii="宋体" w:hAnsi="宋体" w:cs="宋体"/>
                <w:bCs/>
                <w:szCs w:val="21"/>
              </w:rPr>
              <w:t>RTⅢ和 UTⅢ资格；或者 RTⅡ和 UTⅡ资格，并且具有 4 年以上无损检测经历</w:t>
            </w:r>
          </w:p>
        </w:tc>
        <w:tc>
          <w:tcPr>
            <w:tcW w:w="1418" w:type="dxa"/>
            <w:vAlign w:val="center"/>
          </w:tcPr>
          <w:p>
            <w:pPr>
              <w:spacing w:line="360" w:lineRule="auto"/>
              <w:jc w:val="center"/>
              <w:rPr>
                <w:rFonts w:ascii="宋体" w:hAnsi="宋体" w:cs="宋体"/>
                <w:bCs/>
                <w:szCs w:val="21"/>
              </w:rPr>
            </w:pPr>
            <w:r>
              <w:rPr>
                <w:rFonts w:hint="eastAsia" w:ascii="宋体" w:hAnsi="宋体" w:cs="宋体"/>
                <w:bCs/>
                <w:szCs w:val="21"/>
              </w:rPr>
              <w:t>RTⅡ</w:t>
            </w:r>
          </w:p>
        </w:tc>
        <w:tc>
          <w:tcPr>
            <w:tcW w:w="1817" w:type="dxa"/>
            <w:vAlign w:val="center"/>
          </w:tcPr>
          <w:p>
            <w:pPr>
              <w:spacing w:line="360" w:lineRule="auto"/>
              <w:jc w:val="center"/>
              <w:rPr>
                <w:rFonts w:ascii="宋体" w:hAnsi="宋体" w:cs="宋体"/>
                <w:bCs/>
                <w:szCs w:val="21"/>
              </w:rPr>
            </w:pPr>
            <w:r>
              <w:rPr>
                <w:rFonts w:hint="eastAsia" w:ascii="宋体" w:hAnsi="宋体" w:cs="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dxa"/>
            <w:vMerge w:val="continue"/>
            <w:vAlign w:val="center"/>
          </w:tcPr>
          <w:p>
            <w:pPr>
              <w:spacing w:line="360" w:lineRule="auto"/>
              <w:jc w:val="center"/>
              <w:rPr>
                <w:rFonts w:ascii="宋体" w:hAnsi="宋体" w:cs="宋体"/>
                <w:bCs/>
                <w:szCs w:val="21"/>
              </w:rPr>
            </w:pPr>
          </w:p>
        </w:tc>
        <w:tc>
          <w:tcPr>
            <w:tcW w:w="1878" w:type="dxa"/>
            <w:vMerge w:val="continue"/>
            <w:vAlign w:val="center"/>
          </w:tcPr>
          <w:p>
            <w:pPr>
              <w:spacing w:line="360" w:lineRule="auto"/>
              <w:jc w:val="center"/>
              <w:rPr>
                <w:rFonts w:ascii="宋体" w:hAnsi="宋体" w:cs="宋体"/>
                <w:bCs/>
                <w:szCs w:val="21"/>
              </w:rPr>
            </w:pPr>
          </w:p>
        </w:tc>
        <w:tc>
          <w:tcPr>
            <w:tcW w:w="3118" w:type="dxa"/>
            <w:vMerge w:val="continue"/>
            <w:vAlign w:val="center"/>
          </w:tcPr>
          <w:p>
            <w:pPr>
              <w:spacing w:line="360" w:lineRule="auto"/>
              <w:jc w:val="center"/>
              <w:rPr>
                <w:rFonts w:ascii="宋体" w:hAnsi="宋体" w:cs="宋体"/>
                <w:bCs/>
                <w:szCs w:val="21"/>
              </w:rPr>
            </w:pPr>
          </w:p>
        </w:tc>
        <w:tc>
          <w:tcPr>
            <w:tcW w:w="1418" w:type="dxa"/>
            <w:vAlign w:val="center"/>
          </w:tcPr>
          <w:p>
            <w:pPr>
              <w:spacing w:line="360" w:lineRule="auto"/>
              <w:jc w:val="center"/>
              <w:rPr>
                <w:rFonts w:ascii="宋体" w:hAnsi="宋体" w:cs="宋体"/>
                <w:bCs/>
                <w:szCs w:val="21"/>
              </w:rPr>
            </w:pPr>
            <w:r>
              <w:rPr>
                <w:rFonts w:hint="eastAsia" w:ascii="宋体" w:hAnsi="宋体" w:cs="宋体"/>
                <w:bCs/>
                <w:szCs w:val="21"/>
              </w:rPr>
              <w:t>UTⅡ</w:t>
            </w:r>
          </w:p>
        </w:tc>
        <w:tc>
          <w:tcPr>
            <w:tcW w:w="1817" w:type="dxa"/>
            <w:vAlign w:val="center"/>
          </w:tcPr>
          <w:p>
            <w:pPr>
              <w:spacing w:line="360" w:lineRule="auto"/>
              <w:jc w:val="center"/>
              <w:rPr>
                <w:rFonts w:ascii="宋体" w:hAnsi="宋体" w:cs="宋体"/>
                <w:bCs/>
                <w:szCs w:val="21"/>
              </w:rPr>
            </w:pPr>
            <w:r>
              <w:rPr>
                <w:rFonts w:hint="eastAsia" w:ascii="宋体" w:hAnsi="宋体" w:cs="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dxa"/>
            <w:vMerge w:val="continue"/>
            <w:vAlign w:val="center"/>
          </w:tcPr>
          <w:p>
            <w:pPr>
              <w:spacing w:line="360" w:lineRule="auto"/>
              <w:jc w:val="center"/>
              <w:rPr>
                <w:rFonts w:ascii="宋体" w:hAnsi="宋体" w:cs="宋体"/>
                <w:bCs/>
                <w:szCs w:val="21"/>
              </w:rPr>
            </w:pPr>
          </w:p>
        </w:tc>
        <w:tc>
          <w:tcPr>
            <w:tcW w:w="1878" w:type="dxa"/>
            <w:vMerge w:val="continue"/>
            <w:vAlign w:val="center"/>
          </w:tcPr>
          <w:p>
            <w:pPr>
              <w:spacing w:line="360" w:lineRule="auto"/>
              <w:jc w:val="center"/>
              <w:rPr>
                <w:rFonts w:ascii="宋体" w:hAnsi="宋体" w:cs="宋体"/>
                <w:bCs/>
                <w:szCs w:val="21"/>
              </w:rPr>
            </w:pPr>
          </w:p>
        </w:tc>
        <w:tc>
          <w:tcPr>
            <w:tcW w:w="3118" w:type="dxa"/>
            <w:vMerge w:val="continue"/>
            <w:vAlign w:val="center"/>
          </w:tcPr>
          <w:p>
            <w:pPr>
              <w:spacing w:line="360" w:lineRule="auto"/>
              <w:jc w:val="center"/>
              <w:rPr>
                <w:rFonts w:ascii="宋体" w:hAnsi="宋体" w:cs="宋体"/>
                <w:bCs/>
                <w:szCs w:val="21"/>
              </w:rPr>
            </w:pPr>
          </w:p>
        </w:tc>
        <w:tc>
          <w:tcPr>
            <w:tcW w:w="1418" w:type="dxa"/>
            <w:vAlign w:val="center"/>
          </w:tcPr>
          <w:p>
            <w:pPr>
              <w:spacing w:line="360" w:lineRule="auto"/>
              <w:jc w:val="center"/>
              <w:rPr>
                <w:rFonts w:ascii="宋体" w:hAnsi="宋体" w:cs="宋体"/>
                <w:bCs/>
                <w:szCs w:val="21"/>
              </w:rPr>
            </w:pPr>
            <w:r>
              <w:rPr>
                <w:rFonts w:hint="eastAsia" w:ascii="宋体" w:hAnsi="宋体" w:cs="宋体"/>
                <w:bCs/>
                <w:szCs w:val="21"/>
              </w:rPr>
              <w:t>MTⅡ</w:t>
            </w:r>
          </w:p>
        </w:tc>
        <w:tc>
          <w:tcPr>
            <w:tcW w:w="1817" w:type="dxa"/>
            <w:vAlign w:val="center"/>
          </w:tcPr>
          <w:p>
            <w:pPr>
              <w:spacing w:line="360" w:lineRule="auto"/>
              <w:jc w:val="center"/>
              <w:rPr>
                <w:rFonts w:ascii="宋体" w:hAnsi="宋体" w:cs="宋体"/>
                <w:bCs/>
                <w:szCs w:val="21"/>
              </w:rPr>
            </w:pPr>
            <w:r>
              <w:rPr>
                <w:rFonts w:hint="eastAsia" w:ascii="宋体" w:hAnsi="宋体" w:cs="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dxa"/>
            <w:vMerge w:val="continue"/>
            <w:vAlign w:val="center"/>
          </w:tcPr>
          <w:p>
            <w:pPr>
              <w:spacing w:line="360" w:lineRule="auto"/>
              <w:jc w:val="center"/>
              <w:rPr>
                <w:rFonts w:ascii="宋体" w:hAnsi="宋体" w:cs="宋体"/>
                <w:bCs/>
                <w:szCs w:val="21"/>
              </w:rPr>
            </w:pPr>
          </w:p>
        </w:tc>
        <w:tc>
          <w:tcPr>
            <w:tcW w:w="1878" w:type="dxa"/>
            <w:vMerge w:val="continue"/>
            <w:vAlign w:val="center"/>
          </w:tcPr>
          <w:p>
            <w:pPr>
              <w:spacing w:line="360" w:lineRule="auto"/>
              <w:jc w:val="center"/>
              <w:rPr>
                <w:rFonts w:ascii="宋体" w:hAnsi="宋体" w:cs="宋体"/>
                <w:bCs/>
                <w:szCs w:val="21"/>
              </w:rPr>
            </w:pPr>
          </w:p>
        </w:tc>
        <w:tc>
          <w:tcPr>
            <w:tcW w:w="3118" w:type="dxa"/>
            <w:vMerge w:val="continue"/>
            <w:vAlign w:val="center"/>
          </w:tcPr>
          <w:p>
            <w:pPr>
              <w:spacing w:line="360" w:lineRule="auto"/>
              <w:jc w:val="center"/>
              <w:rPr>
                <w:rFonts w:ascii="宋体" w:hAnsi="宋体" w:cs="宋体"/>
                <w:bCs/>
                <w:szCs w:val="21"/>
              </w:rPr>
            </w:pPr>
          </w:p>
        </w:tc>
        <w:tc>
          <w:tcPr>
            <w:tcW w:w="1418" w:type="dxa"/>
            <w:vAlign w:val="center"/>
          </w:tcPr>
          <w:p>
            <w:pPr>
              <w:spacing w:line="360" w:lineRule="auto"/>
              <w:jc w:val="center"/>
              <w:rPr>
                <w:rFonts w:ascii="宋体" w:hAnsi="宋体" w:cs="宋体"/>
                <w:bCs/>
                <w:szCs w:val="21"/>
              </w:rPr>
            </w:pPr>
            <w:r>
              <w:rPr>
                <w:rFonts w:hint="eastAsia" w:ascii="宋体" w:hAnsi="宋体" w:cs="宋体"/>
                <w:bCs/>
                <w:szCs w:val="21"/>
              </w:rPr>
              <w:t>PTⅡ</w:t>
            </w:r>
          </w:p>
        </w:tc>
        <w:tc>
          <w:tcPr>
            <w:tcW w:w="1817" w:type="dxa"/>
            <w:vAlign w:val="center"/>
          </w:tcPr>
          <w:p>
            <w:pPr>
              <w:spacing w:line="360" w:lineRule="auto"/>
              <w:jc w:val="center"/>
              <w:rPr>
                <w:rFonts w:ascii="宋体" w:hAnsi="宋体" w:cs="宋体"/>
                <w:bCs/>
                <w:szCs w:val="21"/>
              </w:rPr>
            </w:pPr>
            <w:r>
              <w:rPr>
                <w:rFonts w:hint="eastAsia" w:ascii="宋体" w:hAnsi="宋体" w:cs="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dxa"/>
            <w:vMerge w:val="continue"/>
            <w:vAlign w:val="center"/>
          </w:tcPr>
          <w:p>
            <w:pPr>
              <w:spacing w:line="360" w:lineRule="auto"/>
              <w:jc w:val="center"/>
              <w:rPr>
                <w:rFonts w:ascii="宋体" w:hAnsi="宋体" w:cs="宋体"/>
                <w:bCs/>
                <w:szCs w:val="21"/>
              </w:rPr>
            </w:pPr>
          </w:p>
        </w:tc>
        <w:tc>
          <w:tcPr>
            <w:tcW w:w="1878" w:type="dxa"/>
            <w:vAlign w:val="center"/>
          </w:tcPr>
          <w:p>
            <w:pPr>
              <w:spacing w:line="360" w:lineRule="auto"/>
              <w:jc w:val="center"/>
              <w:rPr>
                <w:rFonts w:ascii="宋体" w:hAnsi="宋体" w:cs="宋体"/>
                <w:bCs/>
                <w:szCs w:val="21"/>
              </w:rPr>
            </w:pPr>
            <w:r>
              <w:rPr>
                <w:rFonts w:hint="eastAsia" w:ascii="宋体" w:hAnsi="宋体" w:cs="宋体"/>
                <w:bCs/>
                <w:szCs w:val="21"/>
              </w:rPr>
              <w:t>膜式壁、蛇形管或者鳍片式省煤器</w:t>
            </w:r>
          </w:p>
        </w:tc>
        <w:tc>
          <w:tcPr>
            <w:tcW w:w="3118" w:type="dxa"/>
            <w:vMerge w:val="continue"/>
            <w:vAlign w:val="center"/>
          </w:tcPr>
          <w:p>
            <w:pPr>
              <w:spacing w:line="360" w:lineRule="auto"/>
              <w:jc w:val="center"/>
              <w:rPr>
                <w:rFonts w:ascii="宋体" w:hAnsi="宋体" w:cs="宋体"/>
                <w:bCs/>
                <w:szCs w:val="21"/>
              </w:rPr>
            </w:pPr>
          </w:p>
        </w:tc>
        <w:tc>
          <w:tcPr>
            <w:tcW w:w="1418" w:type="dxa"/>
            <w:vAlign w:val="center"/>
          </w:tcPr>
          <w:p>
            <w:pPr>
              <w:spacing w:line="360" w:lineRule="auto"/>
              <w:jc w:val="center"/>
              <w:rPr>
                <w:rFonts w:ascii="宋体" w:hAnsi="宋体" w:cs="宋体"/>
                <w:bCs/>
                <w:szCs w:val="21"/>
              </w:rPr>
            </w:pPr>
            <w:r>
              <w:rPr>
                <w:rFonts w:hint="eastAsia" w:ascii="宋体" w:hAnsi="宋体" w:cs="宋体"/>
                <w:bCs/>
                <w:szCs w:val="21"/>
              </w:rPr>
              <w:t>RTⅡ</w:t>
            </w:r>
          </w:p>
        </w:tc>
        <w:tc>
          <w:tcPr>
            <w:tcW w:w="1817" w:type="dxa"/>
            <w:vAlign w:val="center"/>
          </w:tcPr>
          <w:p>
            <w:pPr>
              <w:spacing w:line="360" w:lineRule="auto"/>
              <w:jc w:val="center"/>
              <w:rPr>
                <w:rFonts w:ascii="宋体" w:hAnsi="宋体" w:cs="宋体"/>
                <w:bCs/>
                <w:szCs w:val="21"/>
              </w:rPr>
            </w:pPr>
            <w:r>
              <w:rPr>
                <w:rFonts w:hint="eastAsia" w:ascii="宋体" w:hAnsi="宋体" w:cs="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dxa"/>
            <w:vMerge w:val="restart"/>
            <w:vAlign w:val="center"/>
          </w:tcPr>
          <w:p>
            <w:pPr>
              <w:spacing w:line="360" w:lineRule="auto"/>
              <w:jc w:val="center"/>
              <w:rPr>
                <w:rFonts w:ascii="宋体" w:hAnsi="宋体" w:cs="宋体"/>
                <w:bCs/>
                <w:szCs w:val="21"/>
              </w:rPr>
            </w:pPr>
            <w:r>
              <w:rPr>
                <w:rFonts w:hint="eastAsia" w:ascii="宋体" w:hAnsi="宋体" w:cs="宋体"/>
                <w:bCs/>
                <w:szCs w:val="21"/>
              </w:rPr>
              <w:t>B</w:t>
            </w:r>
          </w:p>
        </w:tc>
        <w:tc>
          <w:tcPr>
            <w:tcW w:w="1878" w:type="dxa"/>
            <w:vMerge w:val="restart"/>
            <w:vAlign w:val="center"/>
          </w:tcPr>
          <w:p>
            <w:pPr>
              <w:spacing w:line="360" w:lineRule="auto"/>
              <w:jc w:val="center"/>
              <w:rPr>
                <w:rFonts w:ascii="宋体" w:hAnsi="宋体" w:cs="宋体"/>
                <w:bCs/>
                <w:szCs w:val="21"/>
              </w:rPr>
            </w:pPr>
            <w:r>
              <w:rPr>
                <w:rFonts w:hint="eastAsia" w:ascii="宋体" w:hAnsi="宋体" w:cs="宋体"/>
                <w:bCs/>
                <w:szCs w:val="21"/>
              </w:rPr>
              <w:t>/</w:t>
            </w:r>
          </w:p>
        </w:tc>
        <w:tc>
          <w:tcPr>
            <w:tcW w:w="3118" w:type="dxa"/>
            <w:vMerge w:val="restart"/>
            <w:vAlign w:val="center"/>
          </w:tcPr>
          <w:p>
            <w:pPr>
              <w:spacing w:line="360" w:lineRule="auto"/>
              <w:jc w:val="center"/>
              <w:rPr>
                <w:rFonts w:ascii="宋体" w:hAnsi="宋体" w:cs="宋体"/>
                <w:bCs/>
                <w:szCs w:val="21"/>
              </w:rPr>
            </w:pPr>
            <w:r>
              <w:rPr>
                <w:rFonts w:hint="eastAsia" w:ascii="宋体" w:hAnsi="宋体" w:cs="宋体"/>
                <w:bCs/>
                <w:szCs w:val="21"/>
              </w:rPr>
              <w:t>RTⅡ和UTⅡ资格</w:t>
            </w:r>
          </w:p>
        </w:tc>
        <w:tc>
          <w:tcPr>
            <w:tcW w:w="1418" w:type="dxa"/>
            <w:vAlign w:val="center"/>
          </w:tcPr>
          <w:p>
            <w:pPr>
              <w:spacing w:line="360" w:lineRule="auto"/>
              <w:jc w:val="center"/>
              <w:rPr>
                <w:rFonts w:ascii="宋体" w:hAnsi="宋体" w:cs="宋体"/>
                <w:bCs/>
                <w:szCs w:val="21"/>
              </w:rPr>
            </w:pPr>
            <w:r>
              <w:rPr>
                <w:rFonts w:hint="eastAsia" w:ascii="宋体" w:hAnsi="宋体" w:cs="宋体"/>
                <w:bCs/>
                <w:szCs w:val="21"/>
              </w:rPr>
              <w:t>RTⅡ</w:t>
            </w:r>
          </w:p>
        </w:tc>
        <w:tc>
          <w:tcPr>
            <w:tcW w:w="1817" w:type="dxa"/>
            <w:vAlign w:val="center"/>
          </w:tcPr>
          <w:p>
            <w:pPr>
              <w:spacing w:line="360" w:lineRule="auto"/>
              <w:jc w:val="center"/>
              <w:rPr>
                <w:rFonts w:ascii="宋体" w:hAnsi="宋体" w:cs="宋体"/>
                <w:bCs/>
                <w:szCs w:val="21"/>
              </w:rPr>
            </w:pPr>
            <w:r>
              <w:rPr>
                <w:rFonts w:hint="eastAsia" w:ascii="宋体" w:hAnsi="宋体" w:cs="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dxa"/>
            <w:vMerge w:val="continue"/>
            <w:vAlign w:val="center"/>
          </w:tcPr>
          <w:p>
            <w:pPr>
              <w:spacing w:line="360" w:lineRule="auto"/>
              <w:jc w:val="center"/>
              <w:rPr>
                <w:rFonts w:ascii="宋体" w:hAnsi="宋体" w:cs="宋体"/>
                <w:bCs/>
                <w:szCs w:val="21"/>
              </w:rPr>
            </w:pPr>
          </w:p>
        </w:tc>
        <w:tc>
          <w:tcPr>
            <w:tcW w:w="1878" w:type="dxa"/>
            <w:vMerge w:val="continue"/>
            <w:vAlign w:val="center"/>
          </w:tcPr>
          <w:p>
            <w:pPr>
              <w:spacing w:line="360" w:lineRule="auto"/>
              <w:jc w:val="center"/>
              <w:rPr>
                <w:rFonts w:ascii="宋体" w:hAnsi="宋体" w:cs="宋体"/>
                <w:bCs/>
                <w:szCs w:val="21"/>
              </w:rPr>
            </w:pPr>
          </w:p>
        </w:tc>
        <w:tc>
          <w:tcPr>
            <w:tcW w:w="3118" w:type="dxa"/>
            <w:vMerge w:val="continue"/>
            <w:vAlign w:val="center"/>
          </w:tcPr>
          <w:p>
            <w:pPr>
              <w:spacing w:line="360" w:lineRule="auto"/>
              <w:jc w:val="center"/>
              <w:rPr>
                <w:rFonts w:ascii="宋体" w:hAnsi="宋体" w:cs="宋体"/>
                <w:bCs/>
                <w:szCs w:val="21"/>
              </w:rPr>
            </w:pPr>
          </w:p>
        </w:tc>
        <w:tc>
          <w:tcPr>
            <w:tcW w:w="1418" w:type="dxa"/>
            <w:vAlign w:val="center"/>
          </w:tcPr>
          <w:p>
            <w:pPr>
              <w:spacing w:line="360" w:lineRule="auto"/>
              <w:jc w:val="center"/>
              <w:rPr>
                <w:rFonts w:ascii="宋体" w:hAnsi="宋体" w:cs="宋体"/>
                <w:bCs/>
                <w:szCs w:val="21"/>
              </w:rPr>
            </w:pPr>
            <w:r>
              <w:rPr>
                <w:rFonts w:hint="eastAsia" w:ascii="宋体" w:hAnsi="宋体" w:cs="宋体"/>
                <w:bCs/>
                <w:szCs w:val="21"/>
              </w:rPr>
              <w:t>UTⅡ</w:t>
            </w:r>
          </w:p>
        </w:tc>
        <w:tc>
          <w:tcPr>
            <w:tcW w:w="1817" w:type="dxa"/>
            <w:vAlign w:val="center"/>
          </w:tcPr>
          <w:p>
            <w:pPr>
              <w:spacing w:line="360" w:lineRule="auto"/>
              <w:jc w:val="center"/>
              <w:rPr>
                <w:rFonts w:ascii="宋体" w:hAnsi="宋体" w:cs="宋体"/>
                <w:bCs/>
                <w:szCs w:val="21"/>
              </w:rPr>
            </w:pPr>
            <w:r>
              <w:rPr>
                <w:rFonts w:hint="eastAsia" w:ascii="宋体" w:hAnsi="宋体" w:cs="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1" w:type="dxa"/>
            <w:gridSpan w:val="5"/>
            <w:vAlign w:val="center"/>
          </w:tcPr>
          <w:p>
            <w:pPr>
              <w:tabs>
                <w:tab w:val="left" w:pos="360"/>
              </w:tabs>
              <w:adjustRightInd w:val="0"/>
              <w:snapToGrid w:val="0"/>
              <w:spacing w:line="360" w:lineRule="auto"/>
              <w:rPr>
                <w:rFonts w:ascii="宋体" w:hAnsi="宋体" w:cs="宋体"/>
                <w:bCs/>
                <w:szCs w:val="21"/>
              </w:rPr>
            </w:pPr>
            <w:r>
              <w:rPr>
                <w:rFonts w:hint="eastAsia" w:ascii="宋体" w:hAnsi="宋体" w:cs="宋体"/>
                <w:bCs/>
                <w:szCs w:val="21"/>
              </w:rPr>
              <w:t>注：1.无损检测外委的，制造单位只需按照表2的要求配备无损检测质量控制系统责任人员。</w:t>
            </w:r>
          </w:p>
          <w:p>
            <w:pPr>
              <w:tabs>
                <w:tab w:val="left" w:pos="360"/>
              </w:tabs>
              <w:adjustRightInd w:val="0"/>
              <w:snapToGrid w:val="0"/>
              <w:spacing w:line="360" w:lineRule="auto"/>
              <w:ind w:firstLine="420" w:firstLineChars="200"/>
              <w:rPr>
                <w:rFonts w:ascii="宋体" w:hAnsi="宋体" w:cs="宋体"/>
                <w:bCs/>
                <w:szCs w:val="21"/>
              </w:rPr>
            </w:pPr>
            <w:r>
              <w:rPr>
                <w:rFonts w:hint="eastAsia" w:ascii="宋体" w:hAnsi="宋体" w:cs="宋体"/>
                <w:bCs/>
                <w:szCs w:val="21"/>
              </w:rPr>
              <w:t xml:space="preserve">2.无损检测质量控制系统责任人员计入无损检测人员数量中。   </w:t>
            </w:r>
          </w:p>
        </w:tc>
      </w:tr>
    </w:tbl>
    <w:p>
      <w:pPr>
        <w:pStyle w:val="2"/>
        <w:spacing w:line="360" w:lineRule="auto"/>
        <w:ind w:firstLine="480" w:firstLineChars="200"/>
        <w:rPr>
          <w:rFonts w:hint="default" w:ascii="宋体" w:hAnsi="宋体" w:cs="宋体"/>
          <w:bCs/>
          <w:sz w:val="24"/>
        </w:rPr>
      </w:pPr>
      <w:r>
        <w:rPr>
          <w:rFonts w:ascii="宋体" w:hAnsi="宋体" w:cs="宋体"/>
          <w:bCs/>
          <w:sz w:val="24"/>
        </w:rPr>
        <w:t>4.2.2.5工艺文件</w:t>
      </w:r>
    </w:p>
    <w:p>
      <w:pPr>
        <w:pStyle w:val="3"/>
        <w:spacing w:line="360" w:lineRule="auto"/>
        <w:ind w:firstLine="480" w:firstLineChars="200"/>
        <w:rPr>
          <w:rFonts w:hint="default" w:ascii="宋体" w:hAnsi="宋体" w:cs="宋体"/>
          <w:b w:val="0"/>
          <w:bCs/>
        </w:rPr>
      </w:pPr>
      <w:r>
        <w:rPr>
          <w:rFonts w:ascii="宋体" w:hAnsi="宋体" w:cs="宋体"/>
          <w:b w:val="0"/>
          <w:bCs/>
        </w:rPr>
        <w:t>制造单位应当按照有关安全技术规范及相关标准，制定与锅炉产品制造相关的焊接、热处理、无损检测、检验与试验等工艺文件，其中焊接工艺，制造单位应当建立健全覆盖本单位所有产品的焊接工艺规程。焊接工艺规程所依据的焊接工艺评定应当在本单位进行，由本单位熟练焊工使用本单位的设备设施焊接试件。</w:t>
      </w:r>
    </w:p>
    <w:p>
      <w:pPr>
        <w:pStyle w:val="3"/>
        <w:spacing w:line="360" w:lineRule="auto"/>
        <w:ind w:firstLine="480" w:firstLineChars="200"/>
        <w:rPr>
          <w:rFonts w:hint="default" w:ascii="宋体" w:hAnsi="宋体" w:cs="宋体"/>
          <w:b w:val="0"/>
          <w:bCs/>
        </w:rPr>
      </w:pPr>
      <w:r>
        <w:rPr>
          <w:rFonts w:ascii="宋体" w:hAnsi="宋体" w:cs="宋体"/>
          <w:b w:val="0"/>
          <w:bCs/>
        </w:rPr>
        <w:t>4.3应当具备的条件</w:t>
      </w:r>
    </w:p>
    <w:p>
      <w:pPr>
        <w:pStyle w:val="3"/>
        <w:spacing w:line="360" w:lineRule="auto"/>
        <w:ind w:firstLine="480" w:firstLineChars="200"/>
        <w:rPr>
          <w:rFonts w:hint="default" w:ascii="宋体" w:hAnsi="宋体" w:cs="宋体"/>
          <w:b w:val="0"/>
          <w:bCs/>
        </w:rPr>
      </w:pPr>
      <w:r>
        <w:rPr>
          <w:rFonts w:ascii="宋体" w:hAnsi="宋体" w:cs="宋体"/>
          <w:b w:val="0"/>
          <w:bCs/>
        </w:rPr>
        <w:t>4.3.1 工作场所</w:t>
      </w:r>
    </w:p>
    <w:p>
      <w:pPr>
        <w:pStyle w:val="3"/>
        <w:spacing w:line="360" w:lineRule="auto"/>
        <w:ind w:firstLine="480" w:firstLineChars="200"/>
        <w:rPr>
          <w:rFonts w:hint="default" w:ascii="宋体" w:hAnsi="宋体" w:cs="宋体"/>
          <w:b w:val="0"/>
          <w:bCs/>
        </w:rPr>
      </w:pPr>
      <w:r>
        <w:rPr>
          <w:rFonts w:ascii="宋体" w:hAnsi="宋体" w:cs="宋体"/>
          <w:b w:val="0"/>
          <w:bCs/>
        </w:rPr>
        <w:t>(1)锅炉制造车间面积、高度满足产品制造的需要，锅炉产品承压件的焊接应当保证在室内作业完成；</w:t>
      </w:r>
    </w:p>
    <w:p>
      <w:pPr>
        <w:pStyle w:val="3"/>
        <w:spacing w:line="360" w:lineRule="auto"/>
        <w:ind w:firstLine="480" w:firstLineChars="200"/>
        <w:rPr>
          <w:rFonts w:hint="default" w:ascii="宋体" w:hAnsi="宋体" w:cs="宋体"/>
          <w:b w:val="0"/>
          <w:bCs/>
        </w:rPr>
      </w:pPr>
      <w:r>
        <w:rPr>
          <w:rFonts w:ascii="宋体" w:hAnsi="宋体" w:cs="宋体"/>
          <w:b w:val="0"/>
          <w:bCs/>
        </w:rPr>
        <w:t>(2)管材、板材、焊材及半成品的存放应当有一定的防护措施；</w:t>
      </w:r>
    </w:p>
    <w:p>
      <w:pPr>
        <w:pStyle w:val="3"/>
        <w:spacing w:line="360" w:lineRule="auto"/>
        <w:ind w:firstLine="480" w:firstLineChars="200"/>
        <w:rPr>
          <w:rFonts w:hint="default" w:ascii="宋体" w:hAnsi="宋体" w:cs="宋体"/>
          <w:b w:val="0"/>
          <w:bCs/>
        </w:rPr>
      </w:pPr>
      <w:r>
        <w:rPr>
          <w:rFonts w:ascii="宋体" w:hAnsi="宋体" w:cs="宋体"/>
          <w:b w:val="0"/>
          <w:bCs/>
        </w:rPr>
        <w:t>(3)具有满足防护要求、空间适应产品检测需要的射线曝光室或者检测专用场地，保证底片冲洗质量和保存底片的专用场所，以及满足无损检测仪器和器材存放要求的场所；</w:t>
      </w:r>
    </w:p>
    <w:p>
      <w:pPr>
        <w:pStyle w:val="3"/>
        <w:spacing w:line="360" w:lineRule="auto"/>
        <w:ind w:firstLine="480" w:firstLineChars="200"/>
        <w:rPr>
          <w:rFonts w:hint="default" w:ascii="宋体" w:hAnsi="宋体" w:cs="宋体"/>
          <w:b w:val="0"/>
          <w:bCs/>
        </w:rPr>
      </w:pPr>
      <w:r>
        <w:rPr>
          <w:rFonts w:ascii="宋体" w:hAnsi="宋体" w:cs="宋体"/>
          <w:b w:val="0"/>
          <w:bCs/>
        </w:rPr>
        <w:t>(4)具有满足安全防护要求的耐压试验场地。</w:t>
      </w:r>
    </w:p>
    <w:p>
      <w:pPr>
        <w:pStyle w:val="3"/>
        <w:spacing w:line="360" w:lineRule="auto"/>
        <w:ind w:firstLine="480" w:firstLineChars="200"/>
        <w:rPr>
          <w:rFonts w:hint="default" w:ascii="宋体" w:hAnsi="宋体" w:cs="宋体"/>
          <w:b w:val="0"/>
          <w:bCs/>
        </w:rPr>
      </w:pPr>
      <w:r>
        <w:rPr>
          <w:rFonts w:ascii="宋体" w:hAnsi="宋体" w:cs="宋体"/>
          <w:b w:val="0"/>
          <w:bCs/>
        </w:rPr>
        <w:t>4.3.2生产设备与工艺装备</w:t>
      </w:r>
    </w:p>
    <w:p>
      <w:pPr>
        <w:pStyle w:val="3"/>
        <w:spacing w:line="360" w:lineRule="auto"/>
        <w:ind w:firstLine="480" w:firstLineChars="200"/>
        <w:rPr>
          <w:rFonts w:hint="default" w:ascii="宋体" w:hAnsi="宋体" w:cs="宋体"/>
          <w:b w:val="0"/>
          <w:bCs/>
        </w:rPr>
      </w:pPr>
      <w:r>
        <w:rPr>
          <w:rFonts w:ascii="宋体" w:hAnsi="宋体" w:cs="宋体"/>
          <w:b w:val="0"/>
          <w:bCs/>
        </w:rPr>
        <w:t>制造单位应当具有产品制造需要的切割设备、成形设备、机加工设备、钻孔设备、焊接设备、焊接材料烘干和保温设备、起重设备等，以及必要的工装，并且按流程合理布置。</w:t>
      </w:r>
    </w:p>
    <w:p>
      <w:pPr>
        <w:spacing w:line="360" w:lineRule="auto"/>
        <w:ind w:firstLine="480" w:firstLineChars="200"/>
        <w:rPr>
          <w:rFonts w:ascii="宋体" w:hAnsi="宋体" w:cs="宋体"/>
          <w:bCs/>
          <w:sz w:val="24"/>
        </w:rPr>
      </w:pPr>
      <w:r>
        <w:rPr>
          <w:rFonts w:hint="eastAsia" w:ascii="宋体" w:hAnsi="宋体" w:cs="宋体"/>
          <w:bCs/>
          <w:sz w:val="24"/>
        </w:rPr>
        <w:t>申请B级锅炉制造的单位，还应满足以下要求：</w:t>
      </w:r>
    </w:p>
    <w:p>
      <w:pPr>
        <w:spacing w:line="360" w:lineRule="auto"/>
        <w:ind w:firstLine="480" w:firstLineChars="200"/>
        <w:rPr>
          <w:rFonts w:ascii="宋体" w:hAnsi="宋体" w:cs="宋体"/>
          <w:bCs/>
          <w:sz w:val="24"/>
        </w:rPr>
      </w:pPr>
      <w:r>
        <w:rPr>
          <w:rFonts w:hint="eastAsia" w:ascii="宋体" w:hAnsi="宋体" w:cs="宋体"/>
          <w:bCs/>
          <w:sz w:val="24"/>
        </w:rPr>
        <w:t>(1)制造车间有制造需要的起重设备，起重能力一般不小于10t；</w:t>
      </w:r>
    </w:p>
    <w:p>
      <w:pPr>
        <w:spacing w:line="360" w:lineRule="auto"/>
        <w:ind w:firstLine="480" w:firstLineChars="200"/>
        <w:rPr>
          <w:rFonts w:ascii="宋体" w:hAnsi="宋体" w:cs="宋体"/>
          <w:bCs/>
          <w:sz w:val="24"/>
        </w:rPr>
      </w:pPr>
      <w:r>
        <w:rPr>
          <w:rFonts w:hint="eastAsia" w:ascii="宋体" w:hAnsi="宋体" w:cs="宋体"/>
          <w:bCs/>
          <w:sz w:val="24"/>
        </w:rPr>
        <w:t>(2)有与产品制造相适应的卷板机，冷卷厚度一般不小于20mm；</w:t>
      </w:r>
    </w:p>
    <w:p>
      <w:pPr>
        <w:spacing w:line="360" w:lineRule="auto"/>
        <w:ind w:firstLine="480" w:firstLineChars="200"/>
        <w:rPr>
          <w:rFonts w:ascii="宋体" w:hAnsi="宋体" w:cs="宋体"/>
          <w:bCs/>
          <w:sz w:val="24"/>
        </w:rPr>
      </w:pPr>
      <w:r>
        <w:rPr>
          <w:rFonts w:hint="eastAsia" w:ascii="宋体" w:hAnsi="宋体" w:cs="宋体"/>
          <w:bCs/>
          <w:sz w:val="24"/>
        </w:rPr>
        <w:t>(3)有产品制造需要的弯管和钻孔设备；</w:t>
      </w:r>
    </w:p>
    <w:p>
      <w:pPr>
        <w:spacing w:line="360" w:lineRule="auto"/>
        <w:ind w:firstLine="480" w:firstLineChars="200"/>
        <w:rPr>
          <w:rFonts w:ascii="宋体" w:hAnsi="宋体" w:cs="宋体"/>
          <w:bCs/>
          <w:sz w:val="24"/>
        </w:rPr>
      </w:pPr>
      <w:r>
        <w:rPr>
          <w:rFonts w:hint="eastAsia" w:ascii="宋体" w:hAnsi="宋体" w:cs="宋体"/>
          <w:bCs/>
          <w:sz w:val="24"/>
        </w:rPr>
        <w:t>(4)有与产品制造相适应的埋弧自动焊、气体保护焊和焊条电弧焊等焊接设备。</w:t>
      </w:r>
    </w:p>
    <w:p>
      <w:pPr>
        <w:spacing w:line="360" w:lineRule="auto"/>
        <w:ind w:firstLine="480" w:firstLineChars="200"/>
        <w:rPr>
          <w:rFonts w:ascii="宋体" w:hAnsi="宋体" w:cs="宋体"/>
          <w:bCs/>
          <w:sz w:val="24"/>
        </w:rPr>
      </w:pPr>
      <w:r>
        <w:rPr>
          <w:rFonts w:hint="eastAsia" w:ascii="宋体" w:hAnsi="宋体" w:cs="宋体"/>
          <w:bCs/>
          <w:sz w:val="24"/>
        </w:rPr>
        <w:t>申请A级锅炉部件制造的单位，还应满足以下要求：</w:t>
      </w:r>
    </w:p>
    <w:p>
      <w:pPr>
        <w:spacing w:line="360" w:lineRule="auto"/>
        <w:ind w:firstLine="480" w:firstLineChars="200"/>
        <w:rPr>
          <w:rFonts w:ascii="宋体" w:hAnsi="宋体" w:cs="宋体"/>
          <w:bCs/>
          <w:sz w:val="24"/>
        </w:rPr>
      </w:pPr>
      <w:r>
        <w:rPr>
          <w:rFonts w:hint="eastAsia" w:ascii="宋体" w:hAnsi="宋体" w:cs="宋体"/>
          <w:bCs/>
          <w:sz w:val="24"/>
        </w:rPr>
        <w:t>具有与 A 级锅炉部件产品焊接工艺相适应的预热设备和工装。</w:t>
      </w:r>
    </w:p>
    <w:p>
      <w:pPr>
        <w:spacing w:line="360" w:lineRule="auto"/>
        <w:ind w:firstLine="480" w:firstLineChars="200"/>
        <w:rPr>
          <w:rFonts w:ascii="宋体" w:hAnsi="宋体" w:cs="宋体"/>
          <w:bCs/>
          <w:sz w:val="24"/>
        </w:rPr>
      </w:pPr>
      <w:r>
        <w:rPr>
          <w:rFonts w:hint="eastAsia" w:ascii="宋体" w:hAnsi="宋体" w:cs="宋体"/>
          <w:bCs/>
          <w:sz w:val="24"/>
        </w:rPr>
        <w:t>具有与 A 级锅炉部件产品制造相适应的以下设备，并且锅筒制造设备、膜式壁生产线和蛇形管生产线3类设备应当具备其中的2类设备：</w:t>
      </w:r>
    </w:p>
    <w:p>
      <w:pPr>
        <w:spacing w:line="360" w:lineRule="auto"/>
        <w:ind w:firstLine="480" w:firstLineChars="200"/>
        <w:rPr>
          <w:rFonts w:ascii="宋体" w:hAnsi="宋体" w:cs="宋体"/>
          <w:bCs/>
          <w:sz w:val="24"/>
        </w:rPr>
      </w:pPr>
      <w:r>
        <w:rPr>
          <w:rFonts w:hint="eastAsia" w:ascii="宋体" w:hAnsi="宋体" w:cs="宋体"/>
          <w:bCs/>
          <w:sz w:val="24"/>
        </w:rPr>
        <w:t>（1）锅筒制造设备，包括冷卷厚度不小于 46mm 的卷板机、坡口加工设备，锅筒热处理炉(外委的不要求)；</w:t>
      </w:r>
    </w:p>
    <w:p>
      <w:pPr>
        <w:spacing w:line="360" w:lineRule="auto"/>
        <w:ind w:firstLine="480" w:firstLineChars="200"/>
        <w:rPr>
          <w:rFonts w:ascii="宋体" w:hAnsi="宋体" w:cs="宋体"/>
          <w:bCs/>
          <w:sz w:val="24"/>
        </w:rPr>
      </w:pPr>
      <w:r>
        <w:rPr>
          <w:rFonts w:hint="eastAsia" w:ascii="宋体" w:hAnsi="宋体" w:cs="宋体"/>
          <w:bCs/>
          <w:sz w:val="24"/>
        </w:rPr>
        <w:t>（2）膜式壁生产线，包括扁钢精整、管子除锈设备、多头自动焊接设备、平整设备和成排弯曲设备；</w:t>
      </w:r>
    </w:p>
    <w:p>
      <w:pPr>
        <w:spacing w:line="360" w:lineRule="auto"/>
        <w:ind w:firstLine="480" w:firstLineChars="200"/>
        <w:rPr>
          <w:rFonts w:ascii="宋体" w:hAnsi="宋体" w:cs="宋体"/>
          <w:bCs/>
          <w:sz w:val="24"/>
        </w:rPr>
      </w:pPr>
      <w:r>
        <w:rPr>
          <w:rFonts w:hint="eastAsia" w:ascii="宋体" w:hAnsi="宋体" w:cs="宋体"/>
          <w:bCs/>
          <w:sz w:val="24"/>
        </w:rPr>
        <w:t>（3）蛇形管生产线，包括切割、坡口加工等管端成形设备，自动热丝 TIG 或者 TIG加 MIG 等管子对接焊接设备，在线焊缝射线检测仪器，弯管机、管料架等制造设备，以及工装和检测平台；</w:t>
      </w:r>
    </w:p>
    <w:p>
      <w:pPr>
        <w:spacing w:line="360" w:lineRule="auto"/>
        <w:ind w:firstLine="480" w:firstLineChars="200"/>
        <w:rPr>
          <w:rFonts w:ascii="宋体" w:hAnsi="宋体" w:cs="宋体"/>
          <w:bCs/>
          <w:sz w:val="24"/>
        </w:rPr>
      </w:pPr>
      <w:r>
        <w:rPr>
          <w:rFonts w:hint="eastAsia" w:ascii="宋体" w:hAnsi="宋体" w:cs="宋体"/>
          <w:bCs/>
          <w:sz w:val="24"/>
        </w:rPr>
        <w:t>（4）集箱制造设备，包括切割设备、坡口加工设备，氩弧焊、埋弧自动焊和焊条电弧焊焊接设备，在线预热设备，集箱热处理炉(外委的不要求)。</w:t>
      </w:r>
    </w:p>
    <w:p>
      <w:pPr>
        <w:spacing w:line="360" w:lineRule="auto"/>
        <w:ind w:firstLine="480" w:firstLineChars="200"/>
        <w:rPr>
          <w:rFonts w:ascii="宋体" w:hAnsi="宋体" w:cs="宋体"/>
          <w:bCs/>
          <w:sz w:val="24"/>
        </w:rPr>
      </w:pPr>
      <w:r>
        <w:rPr>
          <w:rFonts w:hint="eastAsia" w:ascii="宋体" w:hAnsi="宋体" w:cs="宋体"/>
          <w:bCs/>
          <w:sz w:val="24"/>
        </w:rPr>
        <w:t>锅炉范围内管道制造设备，应当包括切割设备、弯管设备、坡口加工设备，氩弧焊、埋弧自动焊、焊条电弧焊焊接设备，以及在线预热等设备，满足制造需要的热处理炉(外委的不要求)。</w:t>
      </w:r>
    </w:p>
    <w:p>
      <w:pPr>
        <w:spacing w:line="360" w:lineRule="auto"/>
        <w:ind w:firstLine="480" w:firstLineChars="200"/>
        <w:rPr>
          <w:rFonts w:ascii="宋体" w:hAnsi="宋体" w:cs="宋体"/>
          <w:bCs/>
          <w:sz w:val="24"/>
        </w:rPr>
      </w:pPr>
      <w:r>
        <w:rPr>
          <w:rFonts w:hint="eastAsia" w:ascii="宋体" w:hAnsi="宋体" w:cs="宋体"/>
          <w:bCs/>
          <w:sz w:val="24"/>
        </w:rPr>
        <w:t>鳍片式省煤器制造设备，应当满足生产需要。</w:t>
      </w:r>
    </w:p>
    <w:p>
      <w:pPr>
        <w:spacing w:line="360" w:lineRule="auto"/>
        <w:ind w:firstLine="480" w:firstLineChars="200"/>
        <w:rPr>
          <w:rFonts w:ascii="宋体" w:hAnsi="宋体" w:cs="宋体"/>
          <w:bCs/>
          <w:sz w:val="24"/>
        </w:rPr>
      </w:pPr>
      <w:r>
        <w:rPr>
          <w:rFonts w:hint="eastAsia" w:ascii="宋体" w:hAnsi="宋体" w:cs="宋体"/>
          <w:bCs/>
          <w:sz w:val="24"/>
        </w:rPr>
        <w:t>4.3.3 检测仪器与试验装置</w:t>
      </w:r>
    </w:p>
    <w:p>
      <w:pPr>
        <w:spacing w:line="360" w:lineRule="auto"/>
        <w:ind w:firstLine="480" w:firstLineChars="200"/>
        <w:rPr>
          <w:rFonts w:ascii="宋体" w:hAnsi="宋体" w:cs="宋体"/>
          <w:bCs/>
          <w:sz w:val="24"/>
        </w:rPr>
      </w:pPr>
      <w:r>
        <w:rPr>
          <w:rFonts w:hint="eastAsia" w:ascii="宋体" w:hAnsi="宋体" w:cs="宋体"/>
          <w:bCs/>
          <w:sz w:val="24"/>
        </w:rPr>
        <w:t>制造单位应当具有产品制造需要的检测平台、无损检测仪器、理化检验仪器、耐压试验装置等；无损检测、理化检验工作外委的，相应的无损检测仪器、理化检验仪器不要求；具有与制造产品相适应的测量装置，并且按照规定进行检定、校准合格。</w:t>
      </w:r>
    </w:p>
    <w:p>
      <w:pPr>
        <w:spacing w:line="360" w:lineRule="auto"/>
        <w:ind w:firstLine="480" w:firstLineChars="200"/>
        <w:rPr>
          <w:rFonts w:ascii="宋体" w:hAnsi="宋体" w:cs="宋体"/>
          <w:bCs/>
          <w:sz w:val="24"/>
        </w:rPr>
      </w:pPr>
      <w:r>
        <w:rPr>
          <w:rFonts w:hint="eastAsia" w:ascii="宋体" w:hAnsi="宋体" w:cs="宋体"/>
          <w:bCs/>
          <w:sz w:val="24"/>
        </w:rPr>
        <w:t>对于申请B级锅炉制造的单位，现场审查检测仪器与试验装置是否符合下列要求：</w:t>
      </w:r>
    </w:p>
    <w:p>
      <w:pPr>
        <w:spacing w:line="360" w:lineRule="auto"/>
        <w:ind w:firstLine="480" w:firstLineChars="200"/>
        <w:rPr>
          <w:rFonts w:ascii="宋体" w:hAnsi="宋体" w:cs="宋体"/>
          <w:bCs/>
          <w:sz w:val="24"/>
        </w:rPr>
      </w:pPr>
      <w:r>
        <w:rPr>
          <w:rFonts w:hint="eastAsia" w:ascii="宋体" w:hAnsi="宋体" w:cs="宋体"/>
          <w:bCs/>
          <w:sz w:val="24"/>
        </w:rPr>
        <w:t>（1）具有产品制造需要的化学分析装置和力学性能测试装置，外委的不要求；</w:t>
      </w:r>
    </w:p>
    <w:p>
      <w:pPr>
        <w:spacing w:line="360" w:lineRule="auto"/>
        <w:ind w:firstLine="480" w:firstLineChars="200"/>
        <w:rPr>
          <w:rFonts w:ascii="宋体" w:hAnsi="宋体" w:cs="宋体"/>
          <w:bCs/>
          <w:sz w:val="24"/>
        </w:rPr>
      </w:pPr>
      <w:r>
        <w:rPr>
          <w:rFonts w:hint="eastAsia" w:ascii="宋体" w:hAnsi="宋体" w:cs="宋体"/>
          <w:bCs/>
          <w:sz w:val="24"/>
        </w:rPr>
        <w:t>（2）具有产品制造需要的射线检测仪器、超声检测仪器，外委的不要求；</w:t>
      </w:r>
    </w:p>
    <w:p>
      <w:pPr>
        <w:spacing w:line="360" w:lineRule="auto"/>
        <w:ind w:firstLine="480" w:firstLineChars="200"/>
        <w:rPr>
          <w:rFonts w:ascii="宋体" w:hAnsi="宋体" w:cs="宋体"/>
          <w:bCs/>
          <w:sz w:val="24"/>
        </w:rPr>
      </w:pPr>
      <w:r>
        <w:rPr>
          <w:rFonts w:hint="eastAsia" w:ascii="宋体" w:hAnsi="宋体" w:cs="宋体"/>
          <w:bCs/>
          <w:sz w:val="24"/>
        </w:rPr>
        <w:t>（3）具有产品制造需要的耐压试验装置不少于 2 台(套)；</w:t>
      </w:r>
    </w:p>
    <w:p>
      <w:pPr>
        <w:spacing w:line="360" w:lineRule="auto"/>
        <w:ind w:firstLine="480" w:firstLineChars="200"/>
        <w:rPr>
          <w:rFonts w:ascii="宋体" w:hAnsi="宋体" w:cs="宋体"/>
          <w:bCs/>
          <w:sz w:val="24"/>
        </w:rPr>
      </w:pPr>
      <w:r>
        <w:rPr>
          <w:rFonts w:hint="eastAsia" w:ascii="宋体" w:hAnsi="宋体" w:cs="宋体"/>
          <w:bCs/>
          <w:sz w:val="24"/>
        </w:rPr>
        <w:t>（4）具有产品制造需要的弯管放样和检测平台。</w:t>
      </w:r>
    </w:p>
    <w:p>
      <w:pPr>
        <w:spacing w:line="360" w:lineRule="auto"/>
        <w:ind w:firstLine="480" w:firstLineChars="200"/>
        <w:rPr>
          <w:rFonts w:ascii="宋体" w:hAnsi="宋体" w:cs="宋体"/>
          <w:bCs/>
          <w:sz w:val="24"/>
        </w:rPr>
      </w:pPr>
      <w:r>
        <w:rPr>
          <w:rFonts w:hint="eastAsia" w:ascii="宋体" w:hAnsi="宋体" w:cs="宋体"/>
          <w:bCs/>
          <w:sz w:val="24"/>
        </w:rPr>
        <w:t>对于申请A级锅炉部件制造的单位，现场审查检测仪器与试验装置是否符合下列要求：</w:t>
      </w:r>
    </w:p>
    <w:p>
      <w:pPr>
        <w:spacing w:line="360" w:lineRule="auto"/>
        <w:ind w:firstLine="480" w:firstLineChars="200"/>
        <w:rPr>
          <w:rFonts w:ascii="宋体" w:hAnsi="宋体" w:cs="宋体"/>
          <w:bCs/>
          <w:sz w:val="24"/>
        </w:rPr>
      </w:pPr>
      <w:r>
        <w:rPr>
          <w:rFonts w:hint="eastAsia" w:ascii="宋体" w:hAnsi="宋体" w:cs="宋体"/>
          <w:bCs/>
          <w:sz w:val="24"/>
        </w:rPr>
        <w:t>（1）设置与产品制造相适应的金相、理化性能检验室，具有金相检验装置、化学分析装置、力学性能测试装置、冲击试样的检验装置，外委的不要求；</w:t>
      </w:r>
    </w:p>
    <w:p>
      <w:pPr>
        <w:spacing w:line="360" w:lineRule="auto"/>
        <w:ind w:firstLine="480" w:firstLineChars="200"/>
        <w:rPr>
          <w:rFonts w:ascii="宋体" w:hAnsi="宋体" w:cs="宋体"/>
          <w:bCs/>
          <w:sz w:val="24"/>
        </w:rPr>
      </w:pPr>
      <w:r>
        <w:rPr>
          <w:rFonts w:hint="eastAsia" w:ascii="宋体" w:hAnsi="宋体" w:cs="宋体"/>
          <w:bCs/>
          <w:sz w:val="24"/>
        </w:rPr>
        <w:t>（2）具有产品制造需要的射线检测仪器、可记录的超声检测仪器，外委的不要求；</w:t>
      </w:r>
    </w:p>
    <w:p>
      <w:pPr>
        <w:spacing w:line="360" w:lineRule="auto"/>
        <w:ind w:firstLine="480" w:firstLineChars="200"/>
        <w:rPr>
          <w:rFonts w:ascii="宋体" w:hAnsi="宋体" w:cs="宋体"/>
          <w:bCs/>
          <w:sz w:val="24"/>
        </w:rPr>
      </w:pPr>
      <w:r>
        <w:rPr>
          <w:rFonts w:hint="eastAsia" w:ascii="宋体" w:hAnsi="宋体" w:cs="宋体"/>
          <w:bCs/>
          <w:sz w:val="24"/>
        </w:rPr>
        <w:t>（3）具有产品制造需要的耐压试验装置不少于 3 台(套)；</w:t>
      </w:r>
    </w:p>
    <w:p>
      <w:pPr>
        <w:spacing w:line="360" w:lineRule="auto"/>
        <w:ind w:firstLine="480" w:firstLineChars="200"/>
        <w:rPr>
          <w:rFonts w:ascii="宋体" w:hAnsi="宋体" w:cs="宋体"/>
          <w:bCs/>
          <w:sz w:val="24"/>
        </w:rPr>
      </w:pPr>
      <w:r>
        <w:rPr>
          <w:rFonts w:hint="eastAsia" w:ascii="宋体" w:hAnsi="宋体" w:cs="宋体"/>
          <w:bCs/>
          <w:sz w:val="24"/>
        </w:rPr>
        <w:t>（4）具有合金钢产品检验需要的现场光谱检测装置。</w:t>
      </w:r>
    </w:p>
    <w:p>
      <w:pPr>
        <w:spacing w:line="360" w:lineRule="auto"/>
        <w:ind w:firstLine="480" w:firstLineChars="200"/>
        <w:rPr>
          <w:rFonts w:ascii="宋体" w:hAnsi="宋体" w:cs="宋体"/>
          <w:bCs/>
          <w:sz w:val="24"/>
        </w:rPr>
      </w:pPr>
      <w:r>
        <w:rPr>
          <w:rFonts w:hint="eastAsia" w:ascii="宋体" w:hAnsi="宋体" w:cs="宋体"/>
          <w:bCs/>
          <w:sz w:val="24"/>
        </w:rPr>
        <w:t>4.3.4 工作外委</w:t>
      </w:r>
    </w:p>
    <w:p>
      <w:pPr>
        <w:spacing w:line="360" w:lineRule="auto"/>
        <w:ind w:firstLine="480" w:firstLineChars="200"/>
        <w:rPr>
          <w:rFonts w:ascii="宋体" w:hAnsi="宋体" w:cs="宋体"/>
          <w:bCs/>
          <w:sz w:val="24"/>
        </w:rPr>
      </w:pPr>
      <w:r>
        <w:rPr>
          <w:rFonts w:hint="eastAsia" w:ascii="宋体" w:hAnsi="宋体" w:cs="宋体"/>
          <w:bCs/>
          <w:sz w:val="24"/>
        </w:rPr>
        <w:t>制造单位必须有能力完成锅炉产品的主体制造，不允许将锅炉产品的所有受压部件进行外委。制造单位的无损检测、理化检验、热处理以及炉胆、下脚圈和封头(管板)成形工作允许外委，对于有焊缝的炉胆、封头(管板)，应当进行制造过程监督检验。专项条件要求具备的项目不允许外委。</w:t>
      </w:r>
    </w:p>
    <w:p>
      <w:pPr>
        <w:spacing w:line="360" w:lineRule="auto"/>
        <w:ind w:firstLine="480" w:firstLineChars="200"/>
        <w:rPr>
          <w:rFonts w:ascii="宋体" w:hAnsi="宋体" w:cs="宋体"/>
          <w:bCs/>
          <w:sz w:val="24"/>
        </w:rPr>
      </w:pPr>
      <w:r>
        <w:rPr>
          <w:rFonts w:hint="eastAsia" w:ascii="宋体" w:hAnsi="宋体" w:cs="宋体"/>
          <w:bCs/>
          <w:sz w:val="24"/>
        </w:rPr>
        <w:t>4.3.5 试制造</w:t>
      </w:r>
    </w:p>
    <w:p>
      <w:pPr>
        <w:spacing w:line="360" w:lineRule="auto"/>
        <w:ind w:firstLine="480" w:firstLineChars="200"/>
        <w:rPr>
          <w:rFonts w:ascii="宋体" w:hAnsi="宋体" w:cs="宋体"/>
          <w:bCs/>
          <w:sz w:val="24"/>
        </w:rPr>
      </w:pPr>
      <w:r>
        <w:rPr>
          <w:rFonts w:hint="eastAsia" w:ascii="宋体" w:hAnsi="宋体" w:cs="宋体"/>
          <w:bCs/>
          <w:sz w:val="24"/>
        </w:rPr>
        <w:t>(1)试制造样品应当能验证所申请范围需要的制造和检验能力，样品参数应当符合相关标准；</w:t>
      </w:r>
    </w:p>
    <w:p>
      <w:pPr>
        <w:spacing w:line="360" w:lineRule="auto"/>
        <w:ind w:firstLine="480" w:firstLineChars="200"/>
        <w:rPr>
          <w:rFonts w:ascii="宋体" w:hAnsi="宋体" w:cs="宋体"/>
          <w:bCs/>
          <w:sz w:val="24"/>
        </w:rPr>
      </w:pPr>
      <w:r>
        <w:rPr>
          <w:rFonts w:hint="eastAsia" w:ascii="宋体" w:hAnsi="宋体" w:cs="宋体"/>
          <w:bCs/>
          <w:sz w:val="24"/>
        </w:rPr>
        <w:t>(2)试制造样品的设计图样应当经过设计文件鉴定合格(注3)；</w:t>
      </w:r>
    </w:p>
    <w:p>
      <w:pPr>
        <w:spacing w:line="360" w:lineRule="auto"/>
        <w:ind w:firstLine="480" w:firstLineChars="200"/>
        <w:rPr>
          <w:rFonts w:ascii="宋体" w:hAnsi="宋体" w:cs="宋体"/>
          <w:bCs/>
          <w:sz w:val="24"/>
        </w:rPr>
      </w:pPr>
      <w:r>
        <w:rPr>
          <w:rFonts w:hint="eastAsia" w:ascii="宋体" w:hAnsi="宋体" w:cs="宋体"/>
          <w:bCs/>
          <w:sz w:val="24"/>
        </w:rPr>
        <w:t>(3)锅炉试制造样品应当符合以下要求：</w:t>
      </w:r>
    </w:p>
    <w:p>
      <w:pPr>
        <w:spacing w:line="360" w:lineRule="auto"/>
        <w:ind w:firstLine="480" w:firstLineChars="200"/>
        <w:rPr>
          <w:rFonts w:ascii="宋体" w:hAnsi="宋体" w:cs="宋体"/>
          <w:bCs/>
          <w:sz w:val="24"/>
        </w:rPr>
      </w:pPr>
      <w:r>
        <w:rPr>
          <w:rFonts w:hint="eastAsia" w:ascii="宋体" w:hAnsi="宋体" w:cs="宋体"/>
          <w:bCs/>
          <w:sz w:val="24"/>
        </w:rPr>
        <w:t>1 台成品和1台在制品，在制品根据产品结构而定：</w:t>
      </w:r>
    </w:p>
    <w:p>
      <w:pPr>
        <w:spacing w:line="360" w:lineRule="auto"/>
        <w:ind w:firstLine="480" w:firstLineChars="200"/>
        <w:rPr>
          <w:rFonts w:ascii="宋体" w:hAnsi="宋体" w:cs="宋体"/>
          <w:bCs/>
          <w:sz w:val="24"/>
        </w:rPr>
      </w:pPr>
      <w:r>
        <w:rPr>
          <w:rFonts w:hint="eastAsia" w:ascii="宋体" w:hAnsi="宋体" w:cs="宋体"/>
          <w:bCs/>
          <w:sz w:val="24"/>
        </w:rPr>
        <w:t>1)筒节、封头(管板)、下脚圈、炉胆等部件各1件；</w:t>
      </w:r>
    </w:p>
    <w:p>
      <w:pPr>
        <w:spacing w:line="360" w:lineRule="auto"/>
        <w:ind w:firstLine="480" w:firstLineChars="200"/>
        <w:rPr>
          <w:rFonts w:ascii="宋体" w:hAnsi="宋体" w:cs="宋体"/>
          <w:bCs/>
          <w:sz w:val="24"/>
        </w:rPr>
      </w:pPr>
      <w:r>
        <w:rPr>
          <w:rFonts w:hint="eastAsia" w:ascii="宋体" w:hAnsi="宋体" w:cs="宋体"/>
          <w:bCs/>
          <w:sz w:val="24"/>
        </w:rPr>
        <w:t>2)产品有集箱，应当有已开孔的集箱2只；</w:t>
      </w:r>
    </w:p>
    <w:p>
      <w:pPr>
        <w:spacing w:line="360" w:lineRule="auto"/>
        <w:ind w:firstLine="480" w:firstLineChars="200"/>
        <w:rPr>
          <w:rFonts w:ascii="宋体" w:hAnsi="宋体" w:cs="宋体"/>
          <w:bCs/>
          <w:sz w:val="24"/>
        </w:rPr>
      </w:pPr>
      <w:r>
        <w:rPr>
          <w:rFonts w:hint="eastAsia" w:ascii="宋体" w:hAnsi="宋体" w:cs="宋体"/>
          <w:bCs/>
          <w:sz w:val="24"/>
        </w:rPr>
        <w:t>3)产品有带弯头的管子，应当有不同直径的弯管5根；</w:t>
      </w:r>
    </w:p>
    <w:p>
      <w:pPr>
        <w:spacing w:line="360" w:lineRule="auto"/>
        <w:ind w:firstLine="480" w:firstLineChars="200"/>
        <w:rPr>
          <w:rFonts w:ascii="宋体" w:hAnsi="宋体" w:cs="宋体"/>
          <w:bCs/>
          <w:sz w:val="24"/>
        </w:rPr>
      </w:pPr>
      <w:r>
        <w:rPr>
          <w:rFonts w:hint="eastAsia" w:ascii="宋体" w:hAnsi="宋体" w:cs="宋体"/>
          <w:bCs/>
          <w:sz w:val="24"/>
        </w:rPr>
        <w:t>4)产品为盘管式，应当有2组内(或者外)圈管盘；</w:t>
      </w:r>
    </w:p>
    <w:p>
      <w:pPr>
        <w:spacing w:line="360" w:lineRule="auto"/>
        <w:ind w:firstLine="480" w:firstLineChars="200"/>
        <w:rPr>
          <w:rFonts w:ascii="宋体" w:hAnsi="宋体" w:cs="宋体"/>
          <w:bCs/>
          <w:sz w:val="24"/>
        </w:rPr>
      </w:pPr>
      <w:r>
        <w:rPr>
          <w:rFonts w:hint="eastAsia" w:ascii="宋体" w:hAnsi="宋体" w:cs="宋体"/>
          <w:bCs/>
          <w:sz w:val="24"/>
        </w:rPr>
        <w:t>5)铸造类锅炉，应当有代表性的锅片各1片。</w:t>
      </w:r>
    </w:p>
    <w:p>
      <w:pPr>
        <w:spacing w:line="360" w:lineRule="auto"/>
        <w:ind w:firstLine="480" w:firstLineChars="200"/>
        <w:rPr>
          <w:rFonts w:ascii="宋体" w:hAnsi="宋体" w:cs="宋体"/>
          <w:bCs/>
          <w:sz w:val="24"/>
        </w:rPr>
      </w:pPr>
      <w:r>
        <w:rPr>
          <w:rFonts w:hint="eastAsia" w:ascii="宋体" w:hAnsi="宋体" w:cs="宋体"/>
          <w:bCs/>
          <w:sz w:val="24"/>
        </w:rPr>
        <w:t>注 3：试制造样品需要作为产品销售使用的，其试制过程应当接受监督检验。</w:t>
      </w:r>
    </w:p>
    <w:p>
      <w:pPr>
        <w:spacing w:line="360" w:lineRule="auto"/>
        <w:ind w:firstLine="480" w:firstLineChars="200"/>
        <w:rPr>
          <w:rFonts w:ascii="宋体" w:hAnsi="宋体" w:cs="宋体"/>
          <w:bCs/>
          <w:sz w:val="24"/>
        </w:rPr>
      </w:pPr>
      <w:r>
        <w:rPr>
          <w:rFonts w:hint="eastAsia" w:ascii="宋体" w:hAnsi="宋体" w:cs="宋体"/>
          <w:bCs/>
          <w:sz w:val="24"/>
        </w:rPr>
        <w:t>注 4：试制造样品未进行油漆、保温和包装；</w:t>
      </w:r>
    </w:p>
    <w:p>
      <w:pPr>
        <w:spacing w:line="360" w:lineRule="auto"/>
        <w:ind w:firstLine="480" w:firstLineChars="200"/>
        <w:rPr>
          <w:rFonts w:ascii="宋体" w:hAnsi="宋体" w:cs="宋体"/>
          <w:bCs/>
          <w:sz w:val="24"/>
        </w:rPr>
      </w:pPr>
      <w:r>
        <w:rPr>
          <w:rFonts w:hint="eastAsia" w:ascii="宋体" w:hAnsi="宋体" w:cs="宋体"/>
          <w:bCs/>
          <w:sz w:val="24"/>
        </w:rPr>
        <w:t>试制造样品的设计参数应当具有代表性，制造工艺应当覆盖申请产品范围。焊接</w:t>
      </w:r>
    </w:p>
    <w:p>
      <w:pPr>
        <w:spacing w:line="360" w:lineRule="auto"/>
        <w:ind w:firstLine="480" w:firstLineChars="200"/>
        <w:rPr>
          <w:rFonts w:ascii="宋体" w:hAnsi="宋体" w:cs="宋体"/>
          <w:bCs/>
          <w:sz w:val="24"/>
        </w:rPr>
      </w:pPr>
      <w:r>
        <w:rPr>
          <w:rFonts w:hint="eastAsia" w:ascii="宋体" w:hAnsi="宋体" w:cs="宋体"/>
          <w:bCs/>
          <w:sz w:val="24"/>
        </w:rPr>
        <w:t>锅炉的制造工艺应当包括成形、焊接、无损检测、理化检验和耐压试验过程。</w:t>
      </w:r>
    </w:p>
    <w:p>
      <w:pPr>
        <w:spacing w:line="360" w:lineRule="auto"/>
        <w:ind w:firstLine="480" w:firstLineChars="200"/>
        <w:rPr>
          <w:rFonts w:ascii="宋体" w:hAnsi="宋体" w:cs="宋体"/>
          <w:bCs/>
          <w:sz w:val="24"/>
        </w:rPr>
      </w:pPr>
      <w:r>
        <w:rPr>
          <w:rFonts w:hint="eastAsia" w:ascii="宋体" w:hAnsi="宋体" w:cs="宋体"/>
          <w:bCs/>
          <w:sz w:val="24"/>
        </w:rPr>
        <w:t>如果 1 台试制造成品和 1 台在制品不能完全包括前款要求的制造工艺，可以通过增加试制造样品来达到对所有制造工艺的覆盖。</w:t>
      </w:r>
    </w:p>
    <w:p>
      <w:pPr>
        <w:spacing w:line="360" w:lineRule="auto"/>
        <w:ind w:firstLine="480" w:firstLineChars="200"/>
        <w:rPr>
          <w:rFonts w:ascii="宋体" w:hAnsi="宋体" w:cs="宋体"/>
          <w:bCs/>
          <w:sz w:val="24"/>
        </w:rPr>
      </w:pPr>
      <w:r>
        <w:rPr>
          <w:rFonts w:hint="eastAsia" w:ascii="宋体" w:hAnsi="宋体" w:cs="宋体"/>
          <w:bCs/>
          <w:sz w:val="24"/>
        </w:rPr>
        <w:t>铸造类等非焊接锅炉的制造工艺应当包括铸件组装、耐压试验及其他必要的制造过程。</w:t>
      </w:r>
    </w:p>
    <w:p>
      <w:pPr>
        <w:spacing w:line="360" w:lineRule="auto"/>
        <w:ind w:firstLine="480" w:firstLineChars="200"/>
        <w:rPr>
          <w:rFonts w:ascii="宋体" w:hAnsi="宋体" w:cs="宋体"/>
          <w:bCs/>
          <w:sz w:val="24"/>
        </w:rPr>
      </w:pPr>
      <w:r>
        <w:rPr>
          <w:rFonts w:hint="eastAsia" w:ascii="宋体" w:hAnsi="宋体" w:cs="宋体"/>
          <w:bCs/>
          <w:sz w:val="24"/>
        </w:rPr>
        <w:t>4.3.6 余热锅炉</w:t>
      </w:r>
    </w:p>
    <w:p>
      <w:pPr>
        <w:spacing w:line="360" w:lineRule="auto"/>
        <w:ind w:firstLine="480" w:firstLineChars="200"/>
        <w:rPr>
          <w:rFonts w:ascii="宋体" w:hAnsi="宋体" w:cs="宋体"/>
          <w:bCs/>
          <w:sz w:val="24"/>
        </w:rPr>
      </w:pPr>
      <w:r>
        <w:rPr>
          <w:rFonts w:hint="eastAsia" w:ascii="宋体" w:hAnsi="宋体" w:cs="宋体"/>
          <w:bCs/>
          <w:sz w:val="24"/>
        </w:rPr>
        <w:t>余热锅炉应当参照相应级别的锅炉制造许可条件执行。特殊结构的余热锅炉，可以根据产品结构特征适当降低条件要求，但是在制造许可证书上应当明确限定具体产品范围。</w:t>
      </w:r>
    </w:p>
    <w:p>
      <w:pPr>
        <w:spacing w:line="360" w:lineRule="auto"/>
        <w:ind w:firstLine="480" w:firstLineChars="200"/>
        <w:rPr>
          <w:rFonts w:ascii="宋体" w:hAnsi="宋体" w:cs="宋体"/>
          <w:bCs/>
          <w:sz w:val="24"/>
        </w:rPr>
      </w:pPr>
      <w:r>
        <w:rPr>
          <w:rFonts w:hint="eastAsia" w:ascii="宋体" w:hAnsi="宋体" w:cs="宋体"/>
          <w:bCs/>
          <w:sz w:val="24"/>
        </w:rPr>
        <w:t>4.3.7 其他锅炉</w:t>
      </w:r>
    </w:p>
    <w:p>
      <w:pPr>
        <w:spacing w:line="360" w:lineRule="auto"/>
        <w:ind w:firstLine="480" w:firstLineChars="200"/>
        <w:rPr>
          <w:rFonts w:ascii="宋体" w:hAnsi="宋体" w:cs="宋体"/>
          <w:bCs/>
          <w:sz w:val="24"/>
        </w:rPr>
      </w:pPr>
      <w:r>
        <w:rPr>
          <w:rFonts w:hint="eastAsia" w:ascii="宋体" w:hAnsi="宋体" w:cs="宋体"/>
          <w:bCs/>
          <w:sz w:val="24"/>
        </w:rPr>
        <w:t>只制造贯流锅炉、有机热载体锅炉、盘管锅炉或者铸造锅炉的制造单位，可申请专项制造许可，在制造许可证书上明确限定具体产品范围。资源条件参照相应级别的锅炉制造许可条件，可以适当降低条件要求，但是应当具备特殊结构所需的工艺装备(如盘管锅炉的盘管机等)。</w:t>
      </w:r>
    </w:p>
    <w:p>
      <w:pPr>
        <w:spacing w:line="360" w:lineRule="auto"/>
        <w:ind w:firstLine="480" w:firstLineChars="200"/>
        <w:rPr>
          <w:rFonts w:ascii="宋体" w:hAnsi="宋体" w:cs="宋体"/>
          <w:bCs/>
          <w:sz w:val="24"/>
        </w:rPr>
      </w:pPr>
      <w:r>
        <w:rPr>
          <w:rFonts w:hint="eastAsia" w:ascii="宋体" w:hAnsi="宋体" w:cs="宋体"/>
          <w:bCs/>
          <w:sz w:val="24"/>
        </w:rPr>
        <w:t>4.3.8 换证业绩</w:t>
      </w:r>
    </w:p>
    <w:p>
      <w:pPr>
        <w:spacing w:line="360" w:lineRule="auto"/>
        <w:ind w:firstLine="480" w:firstLineChars="200"/>
        <w:rPr>
          <w:rFonts w:ascii="宋体" w:hAnsi="宋体" w:cs="宋体"/>
          <w:bCs/>
          <w:sz w:val="24"/>
        </w:rPr>
      </w:pPr>
      <w:r>
        <w:rPr>
          <w:rFonts w:hint="eastAsia" w:ascii="宋体" w:hAnsi="宋体" w:cs="宋体"/>
          <w:bCs/>
          <w:sz w:val="24"/>
        </w:rPr>
        <w:t>制造单位换证时，许可周期内应当具备与持证级别相应的产品制造业绩，否则按照试制造的要求准备试制造样品。</w:t>
      </w:r>
    </w:p>
    <w:p>
      <w:pPr>
        <w:spacing w:line="360" w:lineRule="auto"/>
        <w:ind w:firstLine="480" w:firstLineChars="200"/>
        <w:rPr>
          <w:rFonts w:ascii="宋体" w:hAnsi="宋体" w:cs="宋体"/>
          <w:bCs/>
          <w:sz w:val="24"/>
        </w:rPr>
      </w:pPr>
      <w:r>
        <w:rPr>
          <w:rFonts w:hint="eastAsia" w:ascii="宋体" w:hAnsi="宋体" w:cs="宋体"/>
          <w:bCs/>
          <w:sz w:val="24"/>
        </w:rPr>
        <w:t>4.4自我声明承诺换证</w:t>
      </w:r>
    </w:p>
    <w:p>
      <w:pPr>
        <w:spacing w:line="360" w:lineRule="auto"/>
        <w:ind w:firstLine="480" w:firstLineChars="200"/>
        <w:rPr>
          <w:rFonts w:ascii="宋体" w:hAnsi="宋体" w:cs="宋体"/>
          <w:bCs/>
          <w:sz w:val="24"/>
        </w:rPr>
      </w:pPr>
      <w:r>
        <w:rPr>
          <w:rFonts w:hint="eastAsia" w:ascii="宋体" w:hAnsi="宋体" w:cs="宋体"/>
          <w:bCs/>
          <w:sz w:val="24"/>
        </w:rPr>
        <w:t>申请“自我声明承诺换证”的，许可周期内与持证级别相应的产品制造业绩不少于4台。</w:t>
      </w:r>
    </w:p>
    <w:p>
      <w:pPr>
        <w:spacing w:line="360" w:lineRule="auto"/>
        <w:ind w:firstLine="480" w:firstLineChars="200"/>
        <w:rPr>
          <w:rFonts w:ascii="宋体" w:hAnsi="宋体" w:cs="宋体"/>
          <w:bCs/>
          <w:sz w:val="24"/>
        </w:rPr>
      </w:pPr>
      <w:r>
        <w:rPr>
          <w:rFonts w:hint="eastAsia" w:ascii="宋体" w:hAnsi="宋体" w:cs="宋体"/>
          <w:bCs/>
          <w:sz w:val="24"/>
        </w:rPr>
        <w:t>换证前一个许可周期内未发生与特种设备相关的行政处罚、责任事故、设备安全性能问题和质量投诉未结案等情况，并且具有TSG 07-2019《特种设备生产和充装单位许可规则》本规则附件 B 至附件 L 规定的相应生产业绩(注 6)的持证单位，在其许可证有效期届满前，可以通过提交持续满足许可要求的自我声明承诺书等资料，向发证机关申请免鉴定评审直接换证。</w:t>
      </w:r>
    </w:p>
    <w:p>
      <w:pPr>
        <w:spacing w:line="360" w:lineRule="auto"/>
        <w:ind w:firstLine="480" w:firstLineChars="200"/>
        <w:rPr>
          <w:rFonts w:ascii="宋体" w:hAnsi="宋体" w:cs="宋体"/>
          <w:bCs/>
          <w:sz w:val="24"/>
        </w:rPr>
      </w:pPr>
      <w:r>
        <w:rPr>
          <w:rFonts w:hint="eastAsia" w:ascii="宋体" w:hAnsi="宋体" w:cs="宋体"/>
          <w:bCs/>
          <w:sz w:val="24"/>
        </w:rPr>
        <w:t>自我声明承诺书应当至少包括以下内容：</w:t>
      </w:r>
    </w:p>
    <w:p>
      <w:pPr>
        <w:spacing w:line="360" w:lineRule="auto"/>
        <w:ind w:firstLine="480" w:firstLineChars="200"/>
        <w:rPr>
          <w:rFonts w:ascii="宋体" w:hAnsi="宋体" w:cs="宋体"/>
          <w:bCs/>
          <w:sz w:val="24"/>
        </w:rPr>
      </w:pPr>
      <w:r>
        <w:rPr>
          <w:rFonts w:hint="eastAsia" w:ascii="宋体" w:hAnsi="宋体" w:cs="宋体"/>
          <w:bCs/>
          <w:sz w:val="24"/>
        </w:rPr>
        <w:t>(1)申请单位的资源条件、生产业绩、产品安全性能状况等，能够持续满足许可范围的相应许可条件要求；</w:t>
      </w:r>
    </w:p>
    <w:p>
      <w:pPr>
        <w:spacing w:line="360" w:lineRule="auto"/>
        <w:ind w:firstLine="480" w:firstLineChars="200"/>
        <w:rPr>
          <w:rFonts w:ascii="宋体" w:hAnsi="宋体" w:cs="宋体"/>
          <w:bCs/>
          <w:sz w:val="24"/>
        </w:rPr>
      </w:pPr>
      <w:r>
        <w:rPr>
          <w:rFonts w:hint="eastAsia" w:ascii="宋体" w:hAnsi="宋体" w:cs="宋体"/>
          <w:bCs/>
          <w:sz w:val="24"/>
        </w:rPr>
        <w:t>(2)申请单位的质量保证体系能够持续有效实施；</w:t>
      </w:r>
    </w:p>
    <w:p>
      <w:pPr>
        <w:spacing w:line="360" w:lineRule="auto"/>
        <w:ind w:firstLine="480" w:firstLineChars="200"/>
        <w:rPr>
          <w:rFonts w:ascii="宋体" w:hAnsi="宋体" w:cs="宋体"/>
          <w:bCs/>
          <w:sz w:val="24"/>
        </w:rPr>
      </w:pPr>
      <w:r>
        <w:rPr>
          <w:rFonts w:hint="eastAsia" w:ascii="宋体" w:hAnsi="宋体" w:cs="宋体"/>
          <w:bCs/>
          <w:sz w:val="24"/>
        </w:rPr>
        <w:t>(3)申请单位前一个许可周期内未发生与特种设备相关的行政处罚、责任事故、设备安全性能问题和质量投诉未结案等情况。</w:t>
      </w:r>
    </w:p>
    <w:p>
      <w:pPr>
        <w:spacing w:line="360" w:lineRule="auto"/>
        <w:ind w:firstLine="480" w:firstLineChars="200"/>
        <w:rPr>
          <w:rFonts w:ascii="宋体" w:hAnsi="宋体" w:cs="宋体"/>
          <w:bCs/>
          <w:sz w:val="24"/>
        </w:rPr>
      </w:pPr>
      <w:r>
        <w:rPr>
          <w:rFonts w:hint="eastAsia" w:ascii="宋体" w:hAnsi="宋体" w:cs="宋体"/>
          <w:bCs/>
          <w:sz w:val="24"/>
        </w:rPr>
        <w:t>持证单位不得连续两次申请自我声明承诺换证。</w:t>
      </w:r>
    </w:p>
    <w:p>
      <w:pPr>
        <w:spacing w:line="360" w:lineRule="auto"/>
        <w:ind w:firstLine="480" w:firstLineChars="200"/>
        <w:rPr>
          <w:rFonts w:ascii="宋体" w:hAnsi="宋体" w:cs="宋体"/>
          <w:bCs/>
          <w:sz w:val="24"/>
        </w:rPr>
      </w:pPr>
      <w:r>
        <w:rPr>
          <w:rFonts w:hint="eastAsia" w:ascii="宋体" w:hAnsi="宋体" w:cs="宋体"/>
          <w:bCs/>
          <w:sz w:val="24"/>
        </w:rPr>
        <w:t>注 6：计入生产业绩产品的参数应当在《特种设备生产单位许可目录》中相应许可子项目的参数范围内。</w:t>
      </w:r>
    </w:p>
    <w:p>
      <w:pPr>
        <w:rPr>
          <w:rFonts w:ascii="宋体" w:hAnsi="宋体" w:cs="宋体"/>
          <w:bCs/>
          <w:sz w:val="24"/>
        </w:rPr>
      </w:pPr>
      <w:r>
        <w:rPr>
          <w:rFonts w:hint="eastAsia" w:ascii="宋体" w:hAnsi="宋体" w:cs="宋体"/>
          <w:bCs/>
          <w:sz w:val="24"/>
        </w:rPr>
        <w:br w:type="page"/>
      </w:r>
    </w:p>
    <w:p>
      <w:pPr>
        <w:spacing w:line="360" w:lineRule="auto"/>
        <w:rPr>
          <w:rFonts w:ascii="宋体" w:hAnsi="宋体" w:cs="宋体"/>
          <w:bCs/>
          <w:sz w:val="24"/>
        </w:rPr>
      </w:pPr>
      <w:r>
        <w:rPr>
          <w:rFonts w:hint="eastAsia" w:ascii="宋体" w:hAnsi="宋体" w:cs="宋体"/>
          <w:bCs/>
          <w:sz w:val="24"/>
        </w:rPr>
        <w:t xml:space="preserve">附录A            </w:t>
      </w:r>
    </w:p>
    <w:p>
      <w:pPr>
        <w:spacing w:line="360" w:lineRule="auto"/>
        <w:jc w:val="center"/>
        <w:rPr>
          <w:rFonts w:ascii="黑体" w:hAnsi="黑体" w:eastAsia="黑体" w:cs="黑体"/>
          <w:b/>
          <w:sz w:val="32"/>
          <w:szCs w:val="32"/>
        </w:rPr>
      </w:pPr>
      <w:r>
        <w:rPr>
          <w:rFonts w:hint="eastAsia" w:ascii="黑体" w:hAnsi="黑体" w:eastAsia="黑体" w:cs="黑体"/>
          <w:b/>
          <w:sz w:val="32"/>
          <w:szCs w:val="32"/>
        </w:rPr>
        <w:t>申请单位应准备的文件和材料</w:t>
      </w:r>
    </w:p>
    <w:p>
      <w:pPr>
        <w:spacing w:line="360" w:lineRule="auto"/>
        <w:ind w:firstLine="480" w:firstLineChars="200"/>
        <w:rPr>
          <w:rFonts w:ascii="宋体" w:hAnsi="宋体" w:cs="宋体"/>
          <w:bCs/>
          <w:sz w:val="24"/>
        </w:rPr>
      </w:pPr>
      <w:r>
        <w:rPr>
          <w:rFonts w:hint="eastAsia" w:ascii="宋体" w:hAnsi="宋体" w:cs="宋体"/>
          <w:bCs/>
          <w:sz w:val="24"/>
        </w:rPr>
        <w:t>A1 营业执照；</w:t>
      </w:r>
    </w:p>
    <w:p>
      <w:pPr>
        <w:spacing w:line="360" w:lineRule="auto"/>
        <w:ind w:firstLine="480" w:firstLineChars="200"/>
        <w:rPr>
          <w:rFonts w:ascii="宋体" w:hAnsi="宋体" w:cs="宋体"/>
          <w:bCs/>
          <w:sz w:val="24"/>
        </w:rPr>
      </w:pPr>
      <w:r>
        <w:rPr>
          <w:rFonts w:hint="eastAsia" w:ascii="宋体" w:hAnsi="宋体" w:cs="宋体"/>
          <w:bCs/>
          <w:sz w:val="24"/>
        </w:rPr>
        <w:t xml:space="preserve">A2 换证申请单位所持有的特种设备生产许可证及持证期间锅炉制造的清单； </w:t>
      </w:r>
    </w:p>
    <w:p>
      <w:pPr>
        <w:spacing w:line="360" w:lineRule="auto"/>
        <w:ind w:firstLine="480" w:firstLineChars="200"/>
        <w:rPr>
          <w:rFonts w:ascii="宋体" w:hAnsi="宋体" w:cs="宋体"/>
          <w:bCs/>
          <w:sz w:val="24"/>
        </w:rPr>
      </w:pPr>
      <w:r>
        <w:rPr>
          <w:rFonts w:hint="eastAsia" w:ascii="宋体" w:hAnsi="宋体" w:cs="宋体"/>
          <w:bCs/>
          <w:sz w:val="24"/>
        </w:rPr>
        <w:t>A3 土地使用证明、房产证或者土地管理部门出具的其他有效证明、租赁合同（租赁期限应当覆盖申请许可证的有效期）等；</w:t>
      </w:r>
    </w:p>
    <w:p>
      <w:pPr>
        <w:spacing w:line="360" w:lineRule="auto"/>
        <w:ind w:firstLine="480" w:firstLineChars="200"/>
        <w:rPr>
          <w:rFonts w:ascii="宋体" w:hAnsi="宋体" w:cs="宋体"/>
          <w:bCs/>
          <w:sz w:val="24"/>
        </w:rPr>
      </w:pPr>
      <w:r>
        <w:rPr>
          <w:rFonts w:hint="eastAsia" w:ascii="宋体" w:hAnsi="宋体" w:cs="宋体"/>
          <w:bCs/>
          <w:sz w:val="24"/>
        </w:rPr>
        <w:t>A4 质量保证手册、程序文件、作业（工艺）文件和记录、质量计划、管理制度、操作规程及其他工艺文件；</w:t>
      </w:r>
    </w:p>
    <w:p>
      <w:pPr>
        <w:spacing w:line="360" w:lineRule="auto"/>
        <w:ind w:firstLine="480" w:firstLineChars="200"/>
        <w:rPr>
          <w:rFonts w:ascii="宋体" w:hAnsi="宋体" w:cs="宋体"/>
          <w:bCs/>
          <w:sz w:val="24"/>
        </w:rPr>
      </w:pPr>
      <w:r>
        <w:rPr>
          <w:rFonts w:hint="eastAsia" w:ascii="宋体" w:hAnsi="宋体" w:cs="宋体"/>
          <w:bCs/>
          <w:sz w:val="24"/>
        </w:rPr>
        <w:t>A5 质量保证体系人员任命文件；质量保证工程师、质量控制系统责任人员、技术人员的学历证书、职称证书；检验检测人员资格证书、注册证书；作业人员的资格证书等；有效的劳动合同；工资支付凭证或记录（至少3个月），或者社保缴费证明材料（至少3个月）等；</w:t>
      </w:r>
    </w:p>
    <w:p>
      <w:pPr>
        <w:spacing w:line="360" w:lineRule="auto"/>
        <w:ind w:firstLine="480" w:firstLineChars="200"/>
        <w:rPr>
          <w:rFonts w:ascii="宋体" w:hAnsi="宋体" w:cs="宋体"/>
          <w:bCs/>
          <w:sz w:val="24"/>
        </w:rPr>
      </w:pPr>
      <w:r>
        <w:rPr>
          <w:rFonts w:hint="eastAsia" w:ascii="宋体" w:hAnsi="宋体" w:cs="宋体"/>
          <w:bCs/>
          <w:sz w:val="24"/>
        </w:rPr>
        <w:t>A6 设备、工艺装备、仪器、计量器具、检验与试验装置等台帐、档案、购买凭据及租赁合同等；</w:t>
      </w:r>
    </w:p>
    <w:p>
      <w:pPr>
        <w:spacing w:line="360" w:lineRule="auto"/>
        <w:ind w:firstLine="480" w:firstLineChars="200"/>
        <w:rPr>
          <w:rFonts w:ascii="宋体" w:hAnsi="宋体" w:cs="宋体"/>
          <w:bCs/>
          <w:sz w:val="24"/>
        </w:rPr>
      </w:pPr>
      <w:r>
        <w:rPr>
          <w:rFonts w:hint="eastAsia" w:ascii="宋体" w:hAnsi="宋体" w:cs="宋体"/>
          <w:bCs/>
          <w:sz w:val="24"/>
        </w:rPr>
        <w:t>A7 检验与试验装置安全附件、检测仪器的检定、校准资料；</w:t>
      </w:r>
    </w:p>
    <w:p>
      <w:pPr>
        <w:spacing w:line="360" w:lineRule="auto"/>
        <w:ind w:firstLine="480" w:firstLineChars="200"/>
        <w:rPr>
          <w:rFonts w:ascii="宋体" w:hAnsi="宋体" w:cs="宋体"/>
          <w:bCs/>
          <w:sz w:val="24"/>
        </w:rPr>
      </w:pPr>
      <w:r>
        <w:rPr>
          <w:rFonts w:hint="eastAsia" w:ascii="宋体" w:hAnsi="宋体" w:cs="宋体"/>
          <w:bCs/>
          <w:sz w:val="24"/>
        </w:rPr>
        <w:t>A8 所制造锅炉的设计文件，作业（工艺）文件（包括作业指导书、焊接工艺评定报告、工艺规程、工艺卡等），质量计划，检验与试验、验收记录，监督检验报告，质量证明资料等；</w:t>
      </w:r>
    </w:p>
    <w:p>
      <w:pPr>
        <w:spacing w:line="360" w:lineRule="auto"/>
        <w:ind w:firstLine="480" w:firstLineChars="200"/>
        <w:rPr>
          <w:rFonts w:ascii="宋体" w:hAnsi="宋体" w:cs="宋体"/>
          <w:bCs/>
          <w:sz w:val="24"/>
        </w:rPr>
      </w:pPr>
      <w:r>
        <w:rPr>
          <w:rFonts w:hint="eastAsia" w:ascii="宋体" w:hAnsi="宋体" w:cs="宋体"/>
          <w:bCs/>
          <w:sz w:val="24"/>
        </w:rPr>
        <w:t>A9 申请单位合格外委（包）方名录、外委（包）方评价报告；</w:t>
      </w:r>
    </w:p>
    <w:p>
      <w:pPr>
        <w:spacing w:line="360" w:lineRule="auto"/>
        <w:ind w:firstLine="480" w:firstLineChars="200"/>
        <w:rPr>
          <w:rFonts w:ascii="宋体" w:hAnsi="宋体" w:cs="宋体"/>
          <w:bCs/>
          <w:sz w:val="24"/>
        </w:rPr>
      </w:pPr>
      <w:r>
        <w:rPr>
          <w:rFonts w:hint="eastAsia" w:ascii="宋体" w:hAnsi="宋体" w:cs="宋体"/>
          <w:bCs/>
          <w:sz w:val="24"/>
        </w:rPr>
        <w:t>A10 管理评审、内审、不合格品（项）控制、质量改进与服务等质量保证体系实施的有关记录；</w:t>
      </w:r>
    </w:p>
    <w:p>
      <w:pPr>
        <w:spacing w:line="360" w:lineRule="auto"/>
        <w:ind w:firstLine="480" w:firstLineChars="200"/>
        <w:rPr>
          <w:rFonts w:ascii="宋体" w:hAnsi="宋体" w:cs="宋体"/>
          <w:bCs/>
          <w:sz w:val="24"/>
        </w:rPr>
      </w:pPr>
      <w:r>
        <w:rPr>
          <w:rFonts w:hint="eastAsia" w:ascii="宋体" w:hAnsi="宋体" w:cs="宋体"/>
          <w:bCs/>
          <w:sz w:val="24"/>
        </w:rPr>
        <w:t>A11 自评报告；</w:t>
      </w:r>
    </w:p>
    <w:p>
      <w:pPr>
        <w:spacing w:line="360" w:lineRule="auto"/>
        <w:ind w:firstLine="480" w:firstLineChars="200"/>
        <w:rPr>
          <w:rFonts w:ascii="宋体" w:hAnsi="宋体" w:cs="宋体"/>
          <w:bCs/>
          <w:sz w:val="24"/>
        </w:rPr>
      </w:pPr>
      <w:r>
        <w:rPr>
          <w:rFonts w:hint="eastAsia" w:ascii="宋体" w:hAnsi="宋体" w:cs="宋体"/>
          <w:bCs/>
          <w:sz w:val="24"/>
        </w:rPr>
        <w:t>A12 鉴定评审过程中需要的其他资料。</w:t>
      </w:r>
    </w:p>
    <w:p>
      <w:pPr>
        <w:spacing w:line="360" w:lineRule="auto"/>
        <w:ind w:firstLine="480" w:firstLineChars="200"/>
        <w:rPr>
          <w:rFonts w:ascii="宋体" w:hAnsi="宋体" w:cs="宋体"/>
          <w:bCs/>
          <w:sz w:val="24"/>
        </w:rPr>
      </w:pPr>
      <w:r>
        <w:rPr>
          <w:rFonts w:hint="eastAsia" w:ascii="宋体" w:hAnsi="宋体" w:cs="宋体"/>
          <w:bCs/>
          <w:sz w:val="24"/>
        </w:rPr>
        <w:t>注：以上文件和材料均为原件。</w:t>
      </w:r>
    </w:p>
    <w:p>
      <w:pPr>
        <w:rPr>
          <w:rFonts w:ascii="宋体" w:hAnsi="宋体" w:cs="宋体"/>
          <w:bCs/>
          <w:sz w:val="24"/>
        </w:rPr>
      </w:pPr>
      <w:r>
        <w:rPr>
          <w:rFonts w:hint="eastAsia" w:ascii="宋体" w:hAnsi="宋体" w:cs="宋体"/>
          <w:bCs/>
          <w:sz w:val="24"/>
        </w:rPr>
        <w:br w:type="page"/>
      </w:r>
    </w:p>
    <w:p>
      <w:pPr>
        <w:spacing w:line="360" w:lineRule="auto"/>
        <w:rPr>
          <w:rFonts w:ascii="宋体" w:hAnsi="宋体" w:cs="宋体"/>
          <w:bCs/>
          <w:sz w:val="24"/>
        </w:rPr>
      </w:pPr>
      <w:r>
        <w:rPr>
          <w:rFonts w:hint="eastAsia" w:ascii="宋体" w:hAnsi="宋体" w:cs="宋体"/>
          <w:bCs/>
          <w:sz w:val="24"/>
        </w:rPr>
        <w:t xml:space="preserve">附录B             </w:t>
      </w:r>
    </w:p>
    <w:p>
      <w:pPr>
        <w:spacing w:line="360" w:lineRule="auto"/>
        <w:jc w:val="center"/>
        <w:rPr>
          <w:rFonts w:ascii="黑体" w:hAnsi="黑体" w:eastAsia="黑体" w:cs="黑体"/>
          <w:b/>
          <w:sz w:val="32"/>
          <w:szCs w:val="32"/>
        </w:rPr>
      </w:pPr>
      <w:r>
        <w:rPr>
          <w:rFonts w:hint="eastAsia" w:ascii="黑体" w:hAnsi="黑体" w:eastAsia="黑体" w:cs="黑体"/>
          <w:b/>
          <w:sz w:val="32"/>
          <w:szCs w:val="32"/>
        </w:rPr>
        <w:t>申请单位应配备的法规和标准</w:t>
      </w:r>
    </w:p>
    <w:tbl>
      <w:tblPr>
        <w:tblStyle w:val="19"/>
        <w:tblpPr w:leftFromText="180" w:rightFromText="180" w:vertAnchor="text" w:horzAnchor="page" w:tblpXSpec="center" w:tblpY="353"/>
        <w:tblOverlap w:val="never"/>
        <w:tblW w:w="0" w:type="auto"/>
        <w:jc w:val="center"/>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11"/>
        <w:gridCol w:w="4425"/>
        <w:gridCol w:w="3661"/>
      </w:tblGrid>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11" w:type="dxa"/>
            <w:vMerge w:val="restart"/>
            <w:vAlign w:val="center"/>
          </w:tcPr>
          <w:p>
            <w:pPr>
              <w:tabs>
                <w:tab w:val="left" w:pos="360"/>
              </w:tabs>
              <w:adjustRightInd w:val="0"/>
              <w:snapToGrid w:val="0"/>
              <w:spacing w:line="360" w:lineRule="auto"/>
              <w:jc w:val="center"/>
              <w:rPr>
                <w:rFonts w:ascii="宋体" w:hAnsi="宋体" w:cs="宋体"/>
                <w:bCs/>
                <w:szCs w:val="21"/>
              </w:rPr>
            </w:pPr>
            <w:r>
              <w:rPr>
                <w:rFonts w:hint="eastAsia" w:ascii="宋体" w:hAnsi="宋体" w:cs="宋体"/>
                <w:bCs/>
                <w:szCs w:val="21"/>
              </w:rPr>
              <w:t>序号</w:t>
            </w:r>
          </w:p>
        </w:tc>
        <w:tc>
          <w:tcPr>
            <w:tcW w:w="4425" w:type="dxa"/>
            <w:vMerge w:val="restart"/>
            <w:vAlign w:val="center"/>
          </w:tcPr>
          <w:p>
            <w:pPr>
              <w:tabs>
                <w:tab w:val="left" w:pos="360"/>
              </w:tabs>
              <w:adjustRightInd w:val="0"/>
              <w:snapToGrid w:val="0"/>
              <w:spacing w:line="360" w:lineRule="auto"/>
              <w:jc w:val="center"/>
              <w:rPr>
                <w:rFonts w:ascii="宋体" w:hAnsi="宋体" w:cs="宋体"/>
                <w:bCs/>
                <w:szCs w:val="21"/>
              </w:rPr>
            </w:pPr>
            <w:r>
              <w:rPr>
                <w:rFonts w:hint="eastAsia" w:ascii="宋体" w:hAnsi="宋体" w:cs="宋体"/>
                <w:bCs/>
                <w:szCs w:val="21"/>
              </w:rPr>
              <w:t>法规标准名称</w:t>
            </w:r>
          </w:p>
        </w:tc>
        <w:tc>
          <w:tcPr>
            <w:tcW w:w="3661" w:type="dxa"/>
            <w:vMerge w:val="restart"/>
            <w:vAlign w:val="center"/>
          </w:tcPr>
          <w:p>
            <w:pPr>
              <w:tabs>
                <w:tab w:val="left" w:pos="360"/>
              </w:tabs>
              <w:adjustRightInd w:val="0"/>
              <w:snapToGrid w:val="0"/>
              <w:spacing w:line="360" w:lineRule="auto"/>
              <w:jc w:val="center"/>
              <w:rPr>
                <w:rFonts w:ascii="宋体" w:hAnsi="宋体" w:cs="宋体"/>
                <w:bCs/>
                <w:szCs w:val="21"/>
              </w:rPr>
            </w:pPr>
            <w:r>
              <w:rPr>
                <w:rFonts w:hint="eastAsia" w:ascii="宋体" w:hAnsi="宋体" w:cs="宋体"/>
                <w:bCs/>
                <w:szCs w:val="21"/>
              </w:rPr>
              <w:t>标准号或文件号</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exact"/>
          <w:jc w:val="center"/>
        </w:trPr>
        <w:tc>
          <w:tcPr>
            <w:tcW w:w="811" w:type="dxa"/>
            <w:vMerge w:val="continue"/>
            <w:vAlign w:val="center"/>
          </w:tcPr>
          <w:p>
            <w:pPr>
              <w:tabs>
                <w:tab w:val="left" w:pos="360"/>
              </w:tabs>
              <w:adjustRightInd w:val="0"/>
              <w:snapToGrid w:val="0"/>
              <w:spacing w:line="360" w:lineRule="auto"/>
              <w:jc w:val="center"/>
              <w:rPr>
                <w:rFonts w:ascii="宋体" w:hAnsi="宋体" w:cs="宋体"/>
                <w:bCs/>
                <w:szCs w:val="21"/>
              </w:rPr>
            </w:pPr>
          </w:p>
        </w:tc>
        <w:tc>
          <w:tcPr>
            <w:tcW w:w="4425" w:type="dxa"/>
            <w:vMerge w:val="continue"/>
            <w:vAlign w:val="center"/>
          </w:tcPr>
          <w:p>
            <w:pPr>
              <w:tabs>
                <w:tab w:val="left" w:pos="360"/>
              </w:tabs>
              <w:adjustRightInd w:val="0"/>
              <w:snapToGrid w:val="0"/>
              <w:spacing w:line="360" w:lineRule="auto"/>
              <w:jc w:val="center"/>
              <w:rPr>
                <w:rFonts w:ascii="宋体" w:hAnsi="宋体" w:cs="宋体"/>
                <w:bCs/>
                <w:szCs w:val="21"/>
              </w:rPr>
            </w:pPr>
          </w:p>
        </w:tc>
        <w:tc>
          <w:tcPr>
            <w:tcW w:w="3661" w:type="dxa"/>
            <w:vMerge w:val="continue"/>
            <w:vAlign w:val="center"/>
          </w:tcPr>
          <w:p>
            <w:pPr>
              <w:tabs>
                <w:tab w:val="left" w:pos="360"/>
              </w:tabs>
              <w:adjustRightInd w:val="0"/>
              <w:snapToGrid w:val="0"/>
              <w:spacing w:line="360" w:lineRule="auto"/>
              <w:jc w:val="center"/>
              <w:rPr>
                <w:rFonts w:ascii="宋体" w:hAnsi="宋体" w:cs="宋体"/>
                <w:bCs/>
                <w:szCs w:val="21"/>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1" w:type="dxa"/>
            <w:vAlign w:val="center"/>
          </w:tcPr>
          <w:p>
            <w:pPr>
              <w:tabs>
                <w:tab w:val="left" w:pos="360"/>
              </w:tabs>
              <w:adjustRightInd w:val="0"/>
              <w:snapToGrid w:val="0"/>
              <w:spacing w:line="360" w:lineRule="auto"/>
              <w:jc w:val="center"/>
              <w:rPr>
                <w:rFonts w:ascii="宋体" w:hAnsi="宋体" w:cs="宋体"/>
                <w:bCs/>
                <w:szCs w:val="21"/>
              </w:rPr>
            </w:pPr>
            <w:r>
              <w:rPr>
                <w:rFonts w:hint="eastAsia" w:ascii="宋体" w:hAnsi="宋体" w:cs="宋体"/>
                <w:bCs/>
                <w:szCs w:val="21"/>
              </w:rPr>
              <w:t>1</w:t>
            </w:r>
          </w:p>
        </w:tc>
        <w:tc>
          <w:tcPr>
            <w:tcW w:w="4425" w:type="dxa"/>
            <w:vAlign w:val="center"/>
          </w:tcPr>
          <w:p>
            <w:pPr>
              <w:tabs>
                <w:tab w:val="left" w:pos="360"/>
              </w:tabs>
              <w:adjustRightInd w:val="0"/>
              <w:snapToGrid w:val="0"/>
              <w:spacing w:line="360" w:lineRule="auto"/>
              <w:jc w:val="left"/>
              <w:rPr>
                <w:rFonts w:ascii="宋体" w:hAnsi="宋体" w:cs="宋体"/>
                <w:bCs/>
                <w:szCs w:val="21"/>
              </w:rPr>
            </w:pPr>
            <w:r>
              <w:rPr>
                <w:rFonts w:hint="eastAsia" w:ascii="宋体" w:hAnsi="宋体" w:cs="宋体"/>
                <w:bCs/>
                <w:szCs w:val="21"/>
              </w:rPr>
              <w:t>《中华人民共和国行政许可法》</w:t>
            </w:r>
          </w:p>
        </w:tc>
        <w:tc>
          <w:tcPr>
            <w:tcW w:w="3661" w:type="dxa"/>
            <w:vAlign w:val="center"/>
          </w:tcPr>
          <w:p>
            <w:pPr>
              <w:tabs>
                <w:tab w:val="left" w:pos="360"/>
              </w:tabs>
              <w:adjustRightInd w:val="0"/>
              <w:snapToGrid w:val="0"/>
              <w:spacing w:line="360" w:lineRule="auto"/>
              <w:jc w:val="left"/>
              <w:rPr>
                <w:rFonts w:ascii="宋体" w:hAnsi="宋体" w:cs="宋体"/>
                <w:bCs/>
                <w:szCs w:val="21"/>
              </w:rPr>
            </w:pPr>
            <w:r>
              <w:rPr>
                <w:rFonts w:hint="eastAsia" w:ascii="宋体" w:hAnsi="宋体" w:cs="宋体"/>
                <w:bCs/>
                <w:szCs w:val="21"/>
              </w:rPr>
              <w:t>国家主席令第七号</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1" w:type="dxa"/>
            <w:vAlign w:val="center"/>
          </w:tcPr>
          <w:p>
            <w:pPr>
              <w:tabs>
                <w:tab w:val="left" w:pos="360"/>
              </w:tabs>
              <w:adjustRightInd w:val="0"/>
              <w:snapToGrid w:val="0"/>
              <w:spacing w:line="360" w:lineRule="auto"/>
              <w:jc w:val="center"/>
              <w:rPr>
                <w:rFonts w:ascii="宋体" w:hAnsi="宋体" w:cs="宋体"/>
                <w:bCs/>
                <w:szCs w:val="21"/>
              </w:rPr>
            </w:pPr>
            <w:r>
              <w:rPr>
                <w:rFonts w:hint="eastAsia" w:ascii="宋体" w:hAnsi="宋体" w:cs="宋体"/>
                <w:bCs/>
                <w:szCs w:val="21"/>
              </w:rPr>
              <w:t>2</w:t>
            </w:r>
          </w:p>
        </w:tc>
        <w:tc>
          <w:tcPr>
            <w:tcW w:w="4425" w:type="dxa"/>
            <w:vAlign w:val="center"/>
          </w:tcPr>
          <w:p>
            <w:pPr>
              <w:tabs>
                <w:tab w:val="left" w:pos="360"/>
              </w:tabs>
              <w:adjustRightInd w:val="0"/>
              <w:snapToGrid w:val="0"/>
              <w:spacing w:line="360" w:lineRule="auto"/>
              <w:jc w:val="left"/>
              <w:rPr>
                <w:rFonts w:ascii="宋体" w:hAnsi="宋体" w:cs="宋体"/>
                <w:bCs/>
                <w:szCs w:val="21"/>
              </w:rPr>
            </w:pPr>
            <w:r>
              <w:rPr>
                <w:rFonts w:hint="eastAsia" w:ascii="宋体" w:hAnsi="宋体" w:cs="宋体"/>
                <w:bCs/>
                <w:szCs w:val="21"/>
              </w:rPr>
              <w:t>《中华人民共和国特种设备安全法》</w:t>
            </w:r>
          </w:p>
        </w:tc>
        <w:tc>
          <w:tcPr>
            <w:tcW w:w="3661" w:type="dxa"/>
            <w:vAlign w:val="center"/>
          </w:tcPr>
          <w:p>
            <w:pPr>
              <w:tabs>
                <w:tab w:val="left" w:pos="360"/>
              </w:tabs>
              <w:adjustRightInd w:val="0"/>
              <w:snapToGrid w:val="0"/>
              <w:spacing w:line="360" w:lineRule="auto"/>
              <w:jc w:val="left"/>
              <w:rPr>
                <w:rFonts w:ascii="宋体" w:hAnsi="宋体" w:cs="宋体"/>
                <w:bCs/>
                <w:szCs w:val="21"/>
              </w:rPr>
            </w:pPr>
            <w:r>
              <w:rPr>
                <w:rFonts w:hint="eastAsia" w:ascii="宋体" w:hAnsi="宋体" w:cs="宋体"/>
                <w:bCs/>
                <w:szCs w:val="21"/>
              </w:rPr>
              <w:t>国家主席令第四号</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1" w:type="dxa"/>
            <w:vAlign w:val="center"/>
          </w:tcPr>
          <w:p>
            <w:pPr>
              <w:tabs>
                <w:tab w:val="left" w:pos="360"/>
              </w:tabs>
              <w:adjustRightInd w:val="0"/>
              <w:snapToGrid w:val="0"/>
              <w:spacing w:line="360" w:lineRule="auto"/>
              <w:jc w:val="center"/>
              <w:rPr>
                <w:rFonts w:ascii="宋体" w:hAnsi="宋体" w:cs="宋体"/>
                <w:bCs/>
                <w:szCs w:val="21"/>
              </w:rPr>
            </w:pPr>
            <w:r>
              <w:rPr>
                <w:rFonts w:hint="eastAsia" w:ascii="宋体" w:hAnsi="宋体" w:cs="宋体"/>
                <w:bCs/>
                <w:szCs w:val="21"/>
              </w:rPr>
              <w:t>3</w:t>
            </w:r>
          </w:p>
        </w:tc>
        <w:tc>
          <w:tcPr>
            <w:tcW w:w="4425" w:type="dxa"/>
            <w:vAlign w:val="center"/>
          </w:tcPr>
          <w:p>
            <w:pPr>
              <w:tabs>
                <w:tab w:val="left" w:pos="360"/>
              </w:tabs>
              <w:adjustRightInd w:val="0"/>
              <w:snapToGrid w:val="0"/>
              <w:spacing w:line="360" w:lineRule="auto"/>
              <w:jc w:val="left"/>
              <w:rPr>
                <w:rFonts w:ascii="宋体" w:hAnsi="宋体" w:cs="宋体"/>
                <w:bCs/>
                <w:szCs w:val="21"/>
              </w:rPr>
            </w:pPr>
            <w:r>
              <w:rPr>
                <w:rFonts w:hint="eastAsia" w:ascii="宋体" w:hAnsi="宋体" w:cs="宋体"/>
                <w:bCs/>
                <w:szCs w:val="21"/>
              </w:rPr>
              <w:t>《特种设备安全监察条例》</w:t>
            </w:r>
          </w:p>
        </w:tc>
        <w:tc>
          <w:tcPr>
            <w:tcW w:w="3661" w:type="dxa"/>
            <w:vAlign w:val="center"/>
          </w:tcPr>
          <w:p>
            <w:pPr>
              <w:tabs>
                <w:tab w:val="left" w:pos="360"/>
              </w:tabs>
              <w:adjustRightInd w:val="0"/>
              <w:snapToGrid w:val="0"/>
              <w:spacing w:line="360" w:lineRule="auto"/>
              <w:jc w:val="left"/>
              <w:rPr>
                <w:rFonts w:ascii="宋体" w:hAnsi="宋体" w:cs="宋体"/>
                <w:bCs/>
                <w:szCs w:val="21"/>
              </w:rPr>
            </w:pPr>
            <w:r>
              <w:rPr>
                <w:rFonts w:hint="eastAsia" w:ascii="宋体" w:hAnsi="宋体" w:cs="宋体"/>
                <w:bCs/>
                <w:szCs w:val="21"/>
              </w:rPr>
              <w:t>国务院令第549号</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1" w:type="dxa"/>
            <w:vAlign w:val="center"/>
          </w:tcPr>
          <w:p>
            <w:pPr>
              <w:tabs>
                <w:tab w:val="left" w:pos="360"/>
              </w:tabs>
              <w:adjustRightInd w:val="0"/>
              <w:snapToGrid w:val="0"/>
              <w:spacing w:line="360" w:lineRule="auto"/>
              <w:jc w:val="center"/>
              <w:rPr>
                <w:rFonts w:ascii="宋体" w:hAnsi="宋体" w:cs="宋体"/>
                <w:bCs/>
                <w:szCs w:val="21"/>
              </w:rPr>
            </w:pPr>
            <w:r>
              <w:rPr>
                <w:rFonts w:hint="eastAsia" w:ascii="宋体" w:hAnsi="宋体" w:cs="宋体"/>
                <w:bCs/>
                <w:szCs w:val="21"/>
              </w:rPr>
              <w:t>4</w:t>
            </w:r>
          </w:p>
        </w:tc>
        <w:tc>
          <w:tcPr>
            <w:tcW w:w="4425" w:type="dxa"/>
            <w:vAlign w:val="center"/>
          </w:tcPr>
          <w:p>
            <w:pPr>
              <w:tabs>
                <w:tab w:val="left" w:pos="360"/>
              </w:tabs>
              <w:adjustRightInd w:val="0"/>
              <w:snapToGrid w:val="0"/>
              <w:spacing w:line="360" w:lineRule="auto"/>
              <w:jc w:val="left"/>
              <w:rPr>
                <w:rFonts w:ascii="宋体" w:hAnsi="宋体" w:cs="宋体"/>
                <w:bCs/>
                <w:szCs w:val="21"/>
              </w:rPr>
            </w:pPr>
            <w:r>
              <w:rPr>
                <w:rFonts w:hint="eastAsia" w:ascii="宋体" w:hAnsi="宋体" w:cs="宋体"/>
                <w:bCs/>
                <w:szCs w:val="21"/>
              </w:rPr>
              <w:t>《特种设备生产和充装单位许可规则》</w:t>
            </w:r>
          </w:p>
        </w:tc>
        <w:tc>
          <w:tcPr>
            <w:tcW w:w="3661" w:type="dxa"/>
            <w:vAlign w:val="center"/>
          </w:tcPr>
          <w:p>
            <w:pPr>
              <w:tabs>
                <w:tab w:val="left" w:pos="360"/>
              </w:tabs>
              <w:adjustRightInd w:val="0"/>
              <w:snapToGrid w:val="0"/>
              <w:spacing w:line="360" w:lineRule="auto"/>
              <w:jc w:val="left"/>
              <w:rPr>
                <w:rFonts w:ascii="宋体" w:hAnsi="宋体" w:cs="宋体"/>
                <w:bCs/>
                <w:szCs w:val="21"/>
              </w:rPr>
            </w:pPr>
            <w:r>
              <w:rPr>
                <w:rFonts w:hint="eastAsia" w:ascii="宋体" w:hAnsi="宋体" w:cs="宋体"/>
                <w:bCs/>
                <w:szCs w:val="21"/>
              </w:rPr>
              <w:t>TSG 07-2019</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5" w:hRule="exact"/>
          <w:jc w:val="center"/>
        </w:trPr>
        <w:tc>
          <w:tcPr>
            <w:tcW w:w="811" w:type="dxa"/>
            <w:vAlign w:val="center"/>
          </w:tcPr>
          <w:p>
            <w:pPr>
              <w:tabs>
                <w:tab w:val="left" w:pos="360"/>
              </w:tabs>
              <w:adjustRightInd w:val="0"/>
              <w:snapToGrid w:val="0"/>
              <w:spacing w:line="360" w:lineRule="auto"/>
              <w:jc w:val="center"/>
              <w:rPr>
                <w:rFonts w:ascii="宋体" w:hAnsi="宋体" w:cs="宋体"/>
                <w:bCs/>
                <w:szCs w:val="21"/>
              </w:rPr>
            </w:pPr>
            <w:r>
              <w:rPr>
                <w:rFonts w:hint="eastAsia" w:ascii="宋体" w:hAnsi="宋体" w:cs="宋体"/>
                <w:bCs/>
                <w:szCs w:val="21"/>
              </w:rPr>
              <w:t>5</w:t>
            </w:r>
          </w:p>
        </w:tc>
        <w:tc>
          <w:tcPr>
            <w:tcW w:w="4425" w:type="dxa"/>
            <w:vAlign w:val="center"/>
          </w:tcPr>
          <w:p>
            <w:pPr>
              <w:tabs>
                <w:tab w:val="left" w:pos="360"/>
              </w:tabs>
              <w:adjustRightInd w:val="0"/>
              <w:snapToGrid w:val="0"/>
              <w:spacing w:line="360" w:lineRule="auto"/>
              <w:jc w:val="left"/>
              <w:rPr>
                <w:rFonts w:ascii="宋体" w:hAnsi="宋体" w:cs="宋体"/>
                <w:bCs/>
                <w:szCs w:val="21"/>
              </w:rPr>
            </w:pPr>
            <w:r>
              <w:rPr>
                <w:rFonts w:hint="eastAsia" w:ascii="宋体" w:hAnsi="宋体" w:cs="宋体"/>
                <w:bCs/>
                <w:szCs w:val="21"/>
              </w:rPr>
              <w:t>《特种设备目录》</w:t>
            </w:r>
          </w:p>
        </w:tc>
        <w:tc>
          <w:tcPr>
            <w:tcW w:w="3661" w:type="dxa"/>
            <w:vAlign w:val="center"/>
          </w:tcPr>
          <w:p>
            <w:pPr>
              <w:tabs>
                <w:tab w:val="left" w:pos="360"/>
              </w:tabs>
              <w:adjustRightInd w:val="0"/>
              <w:snapToGrid w:val="0"/>
              <w:spacing w:line="360" w:lineRule="auto"/>
              <w:jc w:val="left"/>
              <w:rPr>
                <w:rFonts w:ascii="宋体" w:hAnsi="宋体" w:cs="宋体"/>
                <w:bCs/>
                <w:szCs w:val="21"/>
              </w:rPr>
            </w:pPr>
            <w:r>
              <w:rPr>
                <w:rFonts w:hint="eastAsia" w:ascii="宋体" w:hAnsi="宋体" w:cs="宋体"/>
                <w:bCs/>
                <w:szCs w:val="21"/>
              </w:rPr>
              <w:t>质检总局关于修订《特种设备目录》的公告（2014年第114号）</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1" w:type="dxa"/>
            <w:vAlign w:val="center"/>
          </w:tcPr>
          <w:p>
            <w:pPr>
              <w:tabs>
                <w:tab w:val="left" w:pos="360"/>
              </w:tabs>
              <w:adjustRightInd w:val="0"/>
              <w:snapToGrid w:val="0"/>
              <w:spacing w:line="360" w:lineRule="auto"/>
              <w:jc w:val="center"/>
              <w:rPr>
                <w:rFonts w:ascii="宋体" w:hAnsi="宋体" w:cs="宋体"/>
                <w:bCs/>
                <w:szCs w:val="21"/>
              </w:rPr>
            </w:pPr>
            <w:r>
              <w:rPr>
                <w:rFonts w:hint="eastAsia" w:ascii="宋体" w:hAnsi="宋体" w:cs="宋体"/>
                <w:bCs/>
                <w:szCs w:val="21"/>
              </w:rPr>
              <w:t>6</w:t>
            </w:r>
          </w:p>
        </w:tc>
        <w:tc>
          <w:tcPr>
            <w:tcW w:w="4425" w:type="dxa"/>
            <w:vAlign w:val="center"/>
          </w:tcPr>
          <w:p>
            <w:pPr>
              <w:tabs>
                <w:tab w:val="left" w:pos="360"/>
              </w:tabs>
              <w:adjustRightInd w:val="0"/>
              <w:snapToGrid w:val="0"/>
              <w:spacing w:line="360" w:lineRule="auto"/>
              <w:jc w:val="left"/>
              <w:rPr>
                <w:rFonts w:ascii="宋体" w:hAnsi="宋体" w:cs="宋体"/>
                <w:bCs/>
                <w:szCs w:val="21"/>
              </w:rPr>
            </w:pPr>
            <w:r>
              <w:rPr>
                <w:rFonts w:hint="eastAsia" w:ascii="宋体" w:hAnsi="宋体" w:cs="宋体"/>
                <w:bCs/>
                <w:szCs w:val="21"/>
              </w:rPr>
              <w:t>《锅炉安全技术规程》</w:t>
            </w:r>
          </w:p>
        </w:tc>
        <w:tc>
          <w:tcPr>
            <w:tcW w:w="3661" w:type="dxa"/>
            <w:vAlign w:val="center"/>
          </w:tcPr>
          <w:p>
            <w:pPr>
              <w:tabs>
                <w:tab w:val="left" w:pos="360"/>
              </w:tabs>
              <w:adjustRightInd w:val="0"/>
              <w:snapToGrid w:val="0"/>
              <w:spacing w:line="360" w:lineRule="auto"/>
              <w:jc w:val="left"/>
              <w:rPr>
                <w:rFonts w:ascii="宋体" w:hAnsi="宋体" w:cs="宋体"/>
                <w:bCs/>
                <w:szCs w:val="21"/>
              </w:rPr>
            </w:pPr>
            <w:r>
              <w:rPr>
                <w:rFonts w:hint="eastAsia" w:ascii="宋体" w:hAnsi="宋体" w:cs="宋体"/>
                <w:bCs/>
                <w:szCs w:val="21"/>
              </w:rPr>
              <w:t>TSG 11-2020</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1" w:type="dxa"/>
            <w:vAlign w:val="center"/>
          </w:tcPr>
          <w:p>
            <w:pPr>
              <w:tabs>
                <w:tab w:val="left" w:pos="360"/>
              </w:tabs>
              <w:adjustRightInd w:val="0"/>
              <w:snapToGrid w:val="0"/>
              <w:spacing w:line="360" w:lineRule="auto"/>
              <w:jc w:val="center"/>
              <w:rPr>
                <w:rFonts w:ascii="宋体" w:hAnsi="宋体" w:cs="宋体"/>
                <w:bCs/>
                <w:szCs w:val="21"/>
              </w:rPr>
            </w:pPr>
            <w:r>
              <w:rPr>
                <w:rFonts w:hint="eastAsia" w:ascii="宋体" w:hAnsi="宋体" w:cs="宋体"/>
                <w:bCs/>
                <w:szCs w:val="21"/>
              </w:rPr>
              <w:t>7</w:t>
            </w:r>
          </w:p>
        </w:tc>
        <w:tc>
          <w:tcPr>
            <w:tcW w:w="4425" w:type="dxa"/>
            <w:vAlign w:val="center"/>
          </w:tcPr>
          <w:p>
            <w:pPr>
              <w:tabs>
                <w:tab w:val="left" w:pos="360"/>
              </w:tabs>
              <w:adjustRightInd w:val="0"/>
              <w:snapToGrid w:val="0"/>
              <w:spacing w:line="360" w:lineRule="auto"/>
              <w:jc w:val="left"/>
              <w:rPr>
                <w:rFonts w:ascii="宋体" w:hAnsi="宋体" w:cs="宋体"/>
                <w:bCs/>
                <w:szCs w:val="21"/>
              </w:rPr>
            </w:pPr>
            <w:r>
              <w:rPr>
                <w:rFonts w:hint="eastAsia" w:ascii="宋体" w:hAnsi="宋体" w:cs="宋体"/>
                <w:bCs/>
                <w:szCs w:val="21"/>
              </w:rPr>
              <w:t>《特种设备作业人员考核规则》</w:t>
            </w:r>
          </w:p>
        </w:tc>
        <w:tc>
          <w:tcPr>
            <w:tcW w:w="3661" w:type="dxa"/>
            <w:vAlign w:val="center"/>
          </w:tcPr>
          <w:p>
            <w:pPr>
              <w:tabs>
                <w:tab w:val="left" w:pos="360"/>
              </w:tabs>
              <w:adjustRightInd w:val="0"/>
              <w:snapToGrid w:val="0"/>
              <w:spacing w:line="360" w:lineRule="auto"/>
              <w:jc w:val="left"/>
              <w:rPr>
                <w:rFonts w:ascii="宋体" w:hAnsi="宋体" w:cs="宋体"/>
                <w:bCs/>
                <w:szCs w:val="21"/>
              </w:rPr>
            </w:pPr>
            <w:r>
              <w:rPr>
                <w:rFonts w:hint="eastAsia" w:ascii="宋体" w:hAnsi="宋体" w:cs="宋体"/>
                <w:bCs/>
                <w:szCs w:val="21"/>
              </w:rPr>
              <w:t>TSG Z6001-2019</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1" w:type="dxa"/>
            <w:vAlign w:val="center"/>
          </w:tcPr>
          <w:p>
            <w:pPr>
              <w:tabs>
                <w:tab w:val="left" w:pos="360"/>
              </w:tabs>
              <w:adjustRightInd w:val="0"/>
              <w:snapToGrid w:val="0"/>
              <w:spacing w:line="360" w:lineRule="auto"/>
              <w:jc w:val="center"/>
              <w:rPr>
                <w:rFonts w:ascii="宋体" w:hAnsi="宋体" w:cs="宋体"/>
                <w:bCs/>
                <w:szCs w:val="21"/>
              </w:rPr>
            </w:pPr>
            <w:r>
              <w:rPr>
                <w:rFonts w:hint="eastAsia" w:ascii="宋体" w:hAnsi="宋体" w:cs="宋体"/>
                <w:bCs/>
                <w:szCs w:val="21"/>
              </w:rPr>
              <w:t>8</w:t>
            </w:r>
          </w:p>
        </w:tc>
        <w:tc>
          <w:tcPr>
            <w:tcW w:w="4425" w:type="dxa"/>
            <w:vAlign w:val="center"/>
          </w:tcPr>
          <w:p>
            <w:pPr>
              <w:tabs>
                <w:tab w:val="left" w:pos="360"/>
              </w:tabs>
              <w:adjustRightInd w:val="0"/>
              <w:snapToGrid w:val="0"/>
              <w:spacing w:line="360" w:lineRule="auto"/>
              <w:jc w:val="left"/>
              <w:rPr>
                <w:rFonts w:ascii="宋体" w:hAnsi="宋体" w:cs="宋体"/>
                <w:bCs/>
                <w:szCs w:val="21"/>
              </w:rPr>
            </w:pPr>
            <w:r>
              <w:rPr>
                <w:rFonts w:hint="eastAsia" w:ascii="宋体" w:hAnsi="宋体" w:cs="宋体"/>
                <w:bCs/>
                <w:szCs w:val="21"/>
              </w:rPr>
              <w:t>《特种设备无损检测人员考核规则》</w:t>
            </w:r>
          </w:p>
        </w:tc>
        <w:tc>
          <w:tcPr>
            <w:tcW w:w="3661" w:type="dxa"/>
            <w:vAlign w:val="center"/>
          </w:tcPr>
          <w:p>
            <w:pPr>
              <w:tabs>
                <w:tab w:val="left" w:pos="360"/>
              </w:tabs>
              <w:adjustRightInd w:val="0"/>
              <w:snapToGrid w:val="0"/>
              <w:spacing w:line="360" w:lineRule="auto"/>
              <w:jc w:val="left"/>
              <w:rPr>
                <w:rFonts w:ascii="宋体" w:hAnsi="宋体" w:cs="宋体"/>
                <w:bCs/>
                <w:szCs w:val="21"/>
              </w:rPr>
            </w:pPr>
            <w:r>
              <w:rPr>
                <w:rFonts w:hint="eastAsia" w:ascii="宋体" w:hAnsi="宋体" w:cs="宋体"/>
                <w:bCs/>
                <w:szCs w:val="21"/>
              </w:rPr>
              <w:t>TSG Z8001-2019</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1" w:type="dxa"/>
            <w:vAlign w:val="center"/>
          </w:tcPr>
          <w:p>
            <w:pPr>
              <w:tabs>
                <w:tab w:val="left" w:pos="360"/>
              </w:tabs>
              <w:adjustRightInd w:val="0"/>
              <w:snapToGrid w:val="0"/>
              <w:spacing w:line="360" w:lineRule="auto"/>
              <w:jc w:val="center"/>
              <w:rPr>
                <w:rFonts w:ascii="宋体" w:hAnsi="宋体" w:cs="宋体"/>
                <w:bCs/>
                <w:szCs w:val="21"/>
              </w:rPr>
            </w:pPr>
            <w:r>
              <w:rPr>
                <w:rFonts w:hint="eastAsia" w:ascii="宋体" w:hAnsi="宋体" w:cs="宋体"/>
                <w:bCs/>
                <w:szCs w:val="21"/>
              </w:rPr>
              <w:t>9</w:t>
            </w:r>
          </w:p>
        </w:tc>
        <w:tc>
          <w:tcPr>
            <w:tcW w:w="4425" w:type="dxa"/>
            <w:vAlign w:val="center"/>
          </w:tcPr>
          <w:p>
            <w:pPr>
              <w:tabs>
                <w:tab w:val="left" w:pos="360"/>
              </w:tabs>
              <w:adjustRightInd w:val="0"/>
              <w:snapToGrid w:val="0"/>
              <w:spacing w:line="360" w:lineRule="auto"/>
              <w:jc w:val="left"/>
              <w:rPr>
                <w:rFonts w:ascii="宋体" w:hAnsi="宋体" w:cs="宋体"/>
                <w:bCs/>
                <w:szCs w:val="21"/>
              </w:rPr>
            </w:pPr>
            <w:r>
              <w:rPr>
                <w:rFonts w:hint="eastAsia" w:ascii="宋体" w:hAnsi="宋体" w:cs="宋体"/>
                <w:bCs/>
                <w:szCs w:val="21"/>
              </w:rPr>
              <w:t>《特种设备焊接操作人员考核细则》</w:t>
            </w:r>
          </w:p>
        </w:tc>
        <w:tc>
          <w:tcPr>
            <w:tcW w:w="3661" w:type="dxa"/>
            <w:vAlign w:val="center"/>
          </w:tcPr>
          <w:p>
            <w:pPr>
              <w:tabs>
                <w:tab w:val="left" w:pos="360"/>
              </w:tabs>
              <w:adjustRightInd w:val="0"/>
              <w:snapToGrid w:val="0"/>
              <w:spacing w:line="360" w:lineRule="auto"/>
              <w:jc w:val="left"/>
              <w:rPr>
                <w:rFonts w:ascii="宋体" w:hAnsi="宋体" w:cs="宋体"/>
                <w:bCs/>
                <w:szCs w:val="21"/>
              </w:rPr>
            </w:pPr>
            <w:r>
              <w:rPr>
                <w:rFonts w:hint="eastAsia" w:ascii="宋体" w:hAnsi="宋体" w:cs="宋体"/>
                <w:bCs/>
                <w:szCs w:val="21"/>
              </w:rPr>
              <w:t>TSG Z6002-2010</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1" w:type="dxa"/>
            <w:vAlign w:val="center"/>
          </w:tcPr>
          <w:p>
            <w:pPr>
              <w:tabs>
                <w:tab w:val="left" w:pos="360"/>
              </w:tabs>
              <w:adjustRightInd w:val="0"/>
              <w:snapToGrid w:val="0"/>
              <w:spacing w:line="360" w:lineRule="auto"/>
              <w:jc w:val="center"/>
              <w:rPr>
                <w:rFonts w:ascii="宋体" w:hAnsi="宋体" w:cs="宋体"/>
                <w:bCs/>
                <w:szCs w:val="21"/>
              </w:rPr>
            </w:pPr>
            <w:r>
              <w:rPr>
                <w:rFonts w:hint="eastAsia" w:ascii="宋体" w:hAnsi="宋体" w:cs="宋体"/>
                <w:bCs/>
                <w:szCs w:val="21"/>
              </w:rPr>
              <w:t>10</w:t>
            </w:r>
          </w:p>
        </w:tc>
        <w:tc>
          <w:tcPr>
            <w:tcW w:w="4425" w:type="dxa"/>
            <w:vAlign w:val="center"/>
          </w:tcPr>
          <w:p>
            <w:pPr>
              <w:tabs>
                <w:tab w:val="left" w:pos="360"/>
              </w:tabs>
              <w:adjustRightInd w:val="0"/>
              <w:snapToGrid w:val="0"/>
              <w:spacing w:line="360" w:lineRule="auto"/>
              <w:jc w:val="left"/>
              <w:rPr>
                <w:rFonts w:ascii="宋体" w:hAnsi="宋体" w:cs="宋体"/>
                <w:bCs/>
                <w:szCs w:val="21"/>
              </w:rPr>
            </w:pPr>
            <w:r>
              <w:rPr>
                <w:rFonts w:hint="eastAsia" w:ascii="宋体" w:hAnsi="宋体" w:cs="宋体"/>
                <w:bCs/>
                <w:szCs w:val="21"/>
              </w:rPr>
              <w:t>《锅炉节能环保技术规程》</w:t>
            </w:r>
          </w:p>
        </w:tc>
        <w:tc>
          <w:tcPr>
            <w:tcW w:w="3661" w:type="dxa"/>
            <w:vAlign w:val="center"/>
          </w:tcPr>
          <w:p>
            <w:pPr>
              <w:tabs>
                <w:tab w:val="left" w:pos="360"/>
              </w:tabs>
              <w:adjustRightInd w:val="0"/>
              <w:snapToGrid w:val="0"/>
              <w:spacing w:line="360" w:lineRule="auto"/>
              <w:jc w:val="left"/>
              <w:rPr>
                <w:rFonts w:ascii="宋体" w:hAnsi="宋体" w:cs="宋体"/>
                <w:bCs/>
                <w:szCs w:val="21"/>
              </w:rPr>
            </w:pPr>
            <w:r>
              <w:rPr>
                <w:rFonts w:hint="eastAsia" w:ascii="宋体" w:hAnsi="宋体" w:cs="宋体"/>
                <w:bCs/>
                <w:szCs w:val="21"/>
              </w:rPr>
              <w:t>TSG 91-2021</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1" w:type="dxa"/>
            <w:vAlign w:val="center"/>
          </w:tcPr>
          <w:p>
            <w:pPr>
              <w:tabs>
                <w:tab w:val="left" w:pos="360"/>
              </w:tabs>
              <w:adjustRightInd w:val="0"/>
              <w:snapToGrid w:val="0"/>
              <w:spacing w:line="360" w:lineRule="auto"/>
              <w:jc w:val="center"/>
              <w:rPr>
                <w:rFonts w:ascii="宋体" w:hAnsi="宋体" w:cs="宋体"/>
                <w:bCs/>
                <w:szCs w:val="21"/>
              </w:rPr>
            </w:pPr>
            <w:r>
              <w:rPr>
                <w:rFonts w:hint="eastAsia" w:ascii="宋体" w:hAnsi="宋体" w:cs="宋体"/>
                <w:bCs/>
                <w:szCs w:val="21"/>
              </w:rPr>
              <w:t>11</w:t>
            </w:r>
          </w:p>
        </w:tc>
        <w:tc>
          <w:tcPr>
            <w:tcW w:w="4425" w:type="dxa"/>
            <w:vAlign w:val="center"/>
          </w:tcPr>
          <w:p>
            <w:pPr>
              <w:tabs>
                <w:tab w:val="left" w:pos="360"/>
              </w:tabs>
              <w:adjustRightInd w:val="0"/>
              <w:snapToGrid w:val="0"/>
              <w:spacing w:line="360" w:lineRule="auto"/>
              <w:jc w:val="left"/>
              <w:rPr>
                <w:rFonts w:ascii="宋体" w:hAnsi="宋体" w:cs="宋体"/>
                <w:bCs/>
                <w:szCs w:val="21"/>
              </w:rPr>
            </w:pPr>
            <w:r>
              <w:rPr>
                <w:rFonts w:hint="eastAsia" w:ascii="宋体" w:hAnsi="宋体" w:cs="宋体"/>
                <w:bCs/>
                <w:szCs w:val="21"/>
              </w:rPr>
              <w:t>《承压设备焊接工艺评定》</w:t>
            </w:r>
          </w:p>
        </w:tc>
        <w:tc>
          <w:tcPr>
            <w:tcW w:w="3661" w:type="dxa"/>
            <w:vAlign w:val="center"/>
          </w:tcPr>
          <w:p>
            <w:pPr>
              <w:tabs>
                <w:tab w:val="left" w:pos="360"/>
              </w:tabs>
              <w:adjustRightInd w:val="0"/>
              <w:snapToGrid w:val="0"/>
              <w:spacing w:line="360" w:lineRule="auto"/>
              <w:jc w:val="left"/>
              <w:rPr>
                <w:rFonts w:ascii="宋体" w:hAnsi="宋体" w:cs="宋体"/>
                <w:bCs/>
                <w:szCs w:val="21"/>
              </w:rPr>
            </w:pPr>
            <w:r>
              <w:rPr>
                <w:rFonts w:hint="eastAsia" w:ascii="宋体" w:hAnsi="宋体" w:cs="宋体"/>
                <w:bCs/>
                <w:szCs w:val="21"/>
              </w:rPr>
              <w:t>NB/T 47014－2011</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1" w:type="dxa"/>
            <w:vAlign w:val="center"/>
          </w:tcPr>
          <w:p>
            <w:pPr>
              <w:tabs>
                <w:tab w:val="left" w:pos="360"/>
              </w:tabs>
              <w:adjustRightInd w:val="0"/>
              <w:snapToGrid w:val="0"/>
              <w:spacing w:line="360" w:lineRule="auto"/>
              <w:jc w:val="center"/>
              <w:rPr>
                <w:rFonts w:ascii="宋体" w:hAnsi="宋体" w:cs="宋体"/>
                <w:bCs/>
                <w:szCs w:val="21"/>
              </w:rPr>
            </w:pPr>
            <w:r>
              <w:rPr>
                <w:rFonts w:hint="eastAsia" w:ascii="宋体" w:hAnsi="宋体" w:cs="宋体"/>
                <w:bCs/>
                <w:szCs w:val="21"/>
              </w:rPr>
              <w:t>12</w:t>
            </w:r>
          </w:p>
        </w:tc>
        <w:tc>
          <w:tcPr>
            <w:tcW w:w="4425" w:type="dxa"/>
            <w:vAlign w:val="center"/>
          </w:tcPr>
          <w:p>
            <w:pPr>
              <w:tabs>
                <w:tab w:val="left" w:pos="360"/>
              </w:tabs>
              <w:adjustRightInd w:val="0"/>
              <w:snapToGrid w:val="0"/>
              <w:spacing w:line="360" w:lineRule="auto"/>
              <w:jc w:val="left"/>
              <w:rPr>
                <w:rFonts w:ascii="宋体" w:hAnsi="宋体" w:cs="宋体"/>
                <w:bCs/>
                <w:szCs w:val="21"/>
              </w:rPr>
            </w:pPr>
            <w:r>
              <w:rPr>
                <w:rFonts w:hint="eastAsia" w:ascii="宋体" w:hAnsi="宋体" w:cs="宋体"/>
                <w:bCs/>
                <w:szCs w:val="21"/>
              </w:rPr>
              <w:t>《承压设备产品焊接试件的力学性能检验》</w:t>
            </w:r>
          </w:p>
        </w:tc>
        <w:tc>
          <w:tcPr>
            <w:tcW w:w="3661" w:type="dxa"/>
            <w:vAlign w:val="center"/>
          </w:tcPr>
          <w:p>
            <w:pPr>
              <w:tabs>
                <w:tab w:val="left" w:pos="360"/>
              </w:tabs>
              <w:adjustRightInd w:val="0"/>
              <w:snapToGrid w:val="0"/>
              <w:spacing w:line="360" w:lineRule="auto"/>
              <w:jc w:val="left"/>
              <w:rPr>
                <w:rFonts w:ascii="宋体" w:hAnsi="宋体" w:cs="宋体"/>
                <w:bCs/>
                <w:szCs w:val="21"/>
              </w:rPr>
            </w:pPr>
            <w:r>
              <w:rPr>
                <w:rFonts w:hint="eastAsia" w:ascii="宋体" w:hAnsi="宋体" w:cs="宋体"/>
                <w:bCs/>
                <w:szCs w:val="21"/>
              </w:rPr>
              <w:t>NB/T 47016－2011</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1" w:type="dxa"/>
            <w:vAlign w:val="center"/>
          </w:tcPr>
          <w:p>
            <w:pPr>
              <w:tabs>
                <w:tab w:val="left" w:pos="360"/>
              </w:tabs>
              <w:adjustRightInd w:val="0"/>
              <w:snapToGrid w:val="0"/>
              <w:spacing w:line="360" w:lineRule="auto"/>
              <w:jc w:val="center"/>
              <w:rPr>
                <w:rFonts w:ascii="宋体" w:hAnsi="宋体" w:cs="宋体"/>
                <w:bCs/>
                <w:szCs w:val="21"/>
              </w:rPr>
            </w:pPr>
            <w:r>
              <w:rPr>
                <w:rFonts w:hint="eastAsia" w:ascii="宋体" w:hAnsi="宋体" w:cs="宋体"/>
                <w:bCs/>
                <w:szCs w:val="21"/>
              </w:rPr>
              <w:t>13</w:t>
            </w:r>
          </w:p>
        </w:tc>
        <w:tc>
          <w:tcPr>
            <w:tcW w:w="4425" w:type="dxa"/>
            <w:vAlign w:val="center"/>
          </w:tcPr>
          <w:p>
            <w:pPr>
              <w:tabs>
                <w:tab w:val="left" w:pos="360"/>
              </w:tabs>
              <w:adjustRightInd w:val="0"/>
              <w:snapToGrid w:val="0"/>
              <w:spacing w:line="360" w:lineRule="auto"/>
              <w:jc w:val="left"/>
              <w:rPr>
                <w:rFonts w:ascii="宋体" w:hAnsi="宋体" w:cs="宋体"/>
                <w:bCs/>
                <w:szCs w:val="21"/>
              </w:rPr>
            </w:pPr>
            <w:r>
              <w:rPr>
                <w:rFonts w:hint="eastAsia" w:ascii="宋体" w:hAnsi="宋体" w:cs="宋体"/>
                <w:bCs/>
                <w:szCs w:val="21"/>
              </w:rPr>
              <w:t>《承压设备无损检测》</w:t>
            </w:r>
          </w:p>
        </w:tc>
        <w:tc>
          <w:tcPr>
            <w:tcW w:w="3661" w:type="dxa"/>
            <w:vAlign w:val="center"/>
          </w:tcPr>
          <w:p>
            <w:pPr>
              <w:tabs>
                <w:tab w:val="left" w:pos="360"/>
              </w:tabs>
              <w:adjustRightInd w:val="0"/>
              <w:snapToGrid w:val="0"/>
              <w:spacing w:line="360" w:lineRule="auto"/>
              <w:jc w:val="left"/>
              <w:rPr>
                <w:rFonts w:ascii="宋体" w:hAnsi="宋体" w:cs="宋体"/>
                <w:bCs/>
                <w:szCs w:val="21"/>
              </w:rPr>
            </w:pPr>
            <w:r>
              <w:rPr>
                <w:rFonts w:hint="eastAsia" w:ascii="宋体" w:hAnsi="宋体" w:cs="宋体"/>
                <w:bCs/>
                <w:szCs w:val="21"/>
              </w:rPr>
              <w:t>NB/T 47013-2015</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1" w:type="dxa"/>
            <w:vAlign w:val="center"/>
          </w:tcPr>
          <w:p>
            <w:pPr>
              <w:tabs>
                <w:tab w:val="left" w:pos="360"/>
              </w:tabs>
              <w:adjustRightInd w:val="0"/>
              <w:snapToGrid w:val="0"/>
              <w:spacing w:line="360" w:lineRule="auto"/>
              <w:jc w:val="center"/>
              <w:rPr>
                <w:rFonts w:ascii="宋体" w:hAnsi="宋体" w:cs="宋体"/>
                <w:bCs/>
                <w:szCs w:val="21"/>
              </w:rPr>
            </w:pPr>
            <w:r>
              <w:rPr>
                <w:rFonts w:hint="eastAsia" w:ascii="宋体" w:hAnsi="宋体" w:cs="宋体"/>
                <w:bCs/>
                <w:szCs w:val="21"/>
              </w:rPr>
              <w:t>14</w:t>
            </w:r>
          </w:p>
        </w:tc>
        <w:tc>
          <w:tcPr>
            <w:tcW w:w="4425" w:type="dxa"/>
            <w:vAlign w:val="center"/>
          </w:tcPr>
          <w:p>
            <w:pPr>
              <w:tabs>
                <w:tab w:val="left" w:pos="360"/>
              </w:tabs>
              <w:adjustRightInd w:val="0"/>
              <w:snapToGrid w:val="0"/>
              <w:spacing w:line="360" w:lineRule="auto"/>
              <w:jc w:val="left"/>
              <w:rPr>
                <w:rFonts w:ascii="宋体" w:hAnsi="宋体" w:cs="宋体"/>
                <w:bCs/>
                <w:szCs w:val="21"/>
              </w:rPr>
            </w:pPr>
            <w:r>
              <w:rPr>
                <w:rFonts w:hint="eastAsia" w:ascii="宋体" w:hAnsi="宋体" w:cs="宋体"/>
                <w:bCs/>
                <w:szCs w:val="21"/>
              </w:rPr>
              <w:t>《锅壳锅炉》</w:t>
            </w:r>
          </w:p>
        </w:tc>
        <w:tc>
          <w:tcPr>
            <w:tcW w:w="3661" w:type="dxa"/>
            <w:vAlign w:val="center"/>
          </w:tcPr>
          <w:p>
            <w:pPr>
              <w:tabs>
                <w:tab w:val="left" w:pos="360"/>
              </w:tabs>
              <w:adjustRightInd w:val="0"/>
              <w:snapToGrid w:val="0"/>
              <w:spacing w:line="360" w:lineRule="auto"/>
              <w:jc w:val="left"/>
              <w:rPr>
                <w:rFonts w:ascii="宋体" w:hAnsi="宋体" w:cs="宋体"/>
                <w:bCs/>
                <w:szCs w:val="21"/>
              </w:rPr>
            </w:pPr>
            <w:r>
              <w:rPr>
                <w:rFonts w:hint="eastAsia" w:ascii="宋体" w:hAnsi="宋体" w:cs="宋体"/>
                <w:bCs/>
                <w:szCs w:val="21"/>
              </w:rPr>
              <w:t>GB/T 16508－2013</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1" w:type="dxa"/>
            <w:vAlign w:val="center"/>
          </w:tcPr>
          <w:p>
            <w:pPr>
              <w:tabs>
                <w:tab w:val="left" w:pos="360"/>
              </w:tabs>
              <w:adjustRightInd w:val="0"/>
              <w:snapToGrid w:val="0"/>
              <w:spacing w:line="360" w:lineRule="auto"/>
              <w:jc w:val="center"/>
              <w:rPr>
                <w:rFonts w:ascii="宋体" w:hAnsi="宋体" w:cs="宋体"/>
                <w:bCs/>
                <w:szCs w:val="21"/>
              </w:rPr>
            </w:pPr>
            <w:r>
              <w:rPr>
                <w:rFonts w:hint="eastAsia" w:ascii="宋体" w:hAnsi="宋体" w:cs="宋体"/>
                <w:bCs/>
                <w:szCs w:val="21"/>
              </w:rPr>
              <w:t>15</w:t>
            </w:r>
          </w:p>
        </w:tc>
        <w:tc>
          <w:tcPr>
            <w:tcW w:w="4425" w:type="dxa"/>
            <w:vAlign w:val="center"/>
          </w:tcPr>
          <w:p>
            <w:pPr>
              <w:tabs>
                <w:tab w:val="left" w:pos="360"/>
              </w:tabs>
              <w:adjustRightInd w:val="0"/>
              <w:snapToGrid w:val="0"/>
              <w:spacing w:line="360" w:lineRule="auto"/>
              <w:jc w:val="left"/>
              <w:rPr>
                <w:rFonts w:ascii="宋体" w:hAnsi="宋体" w:cs="宋体"/>
                <w:bCs/>
                <w:szCs w:val="21"/>
              </w:rPr>
            </w:pPr>
            <w:r>
              <w:rPr>
                <w:rFonts w:hint="eastAsia" w:ascii="宋体" w:hAnsi="宋体" w:cs="宋体"/>
                <w:bCs/>
                <w:szCs w:val="21"/>
              </w:rPr>
              <w:t>《水管锅炉》</w:t>
            </w:r>
          </w:p>
        </w:tc>
        <w:tc>
          <w:tcPr>
            <w:tcW w:w="3661" w:type="dxa"/>
            <w:vAlign w:val="center"/>
          </w:tcPr>
          <w:p>
            <w:pPr>
              <w:tabs>
                <w:tab w:val="left" w:pos="360"/>
              </w:tabs>
              <w:adjustRightInd w:val="0"/>
              <w:snapToGrid w:val="0"/>
              <w:spacing w:line="360" w:lineRule="auto"/>
              <w:jc w:val="left"/>
              <w:rPr>
                <w:rFonts w:ascii="宋体" w:hAnsi="宋体" w:cs="宋体"/>
                <w:bCs/>
                <w:szCs w:val="21"/>
              </w:rPr>
            </w:pPr>
            <w:r>
              <w:rPr>
                <w:rFonts w:hint="eastAsia" w:ascii="宋体" w:hAnsi="宋体" w:cs="宋体"/>
                <w:bCs/>
                <w:szCs w:val="21"/>
              </w:rPr>
              <w:t>GB/T 16507－2013</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1" w:type="dxa"/>
            <w:vAlign w:val="center"/>
          </w:tcPr>
          <w:p>
            <w:pPr>
              <w:tabs>
                <w:tab w:val="left" w:pos="360"/>
              </w:tabs>
              <w:adjustRightInd w:val="0"/>
              <w:snapToGrid w:val="0"/>
              <w:spacing w:line="360" w:lineRule="auto"/>
              <w:jc w:val="center"/>
              <w:rPr>
                <w:rFonts w:ascii="宋体" w:hAnsi="宋体" w:cs="宋体"/>
                <w:bCs/>
                <w:szCs w:val="21"/>
              </w:rPr>
            </w:pPr>
            <w:r>
              <w:rPr>
                <w:rFonts w:hint="eastAsia" w:ascii="宋体" w:hAnsi="宋体" w:cs="宋体"/>
                <w:bCs/>
                <w:szCs w:val="21"/>
              </w:rPr>
              <w:t>16</w:t>
            </w:r>
          </w:p>
        </w:tc>
        <w:tc>
          <w:tcPr>
            <w:tcW w:w="4425" w:type="dxa"/>
            <w:vAlign w:val="center"/>
          </w:tcPr>
          <w:p>
            <w:pPr>
              <w:tabs>
                <w:tab w:val="left" w:pos="360"/>
              </w:tabs>
              <w:adjustRightInd w:val="0"/>
              <w:snapToGrid w:val="0"/>
              <w:spacing w:line="360" w:lineRule="auto"/>
              <w:jc w:val="left"/>
              <w:rPr>
                <w:rFonts w:ascii="宋体" w:hAnsi="宋体" w:cs="宋体"/>
                <w:bCs/>
                <w:szCs w:val="21"/>
              </w:rPr>
            </w:pPr>
            <w:r>
              <w:rPr>
                <w:rFonts w:hint="eastAsia" w:ascii="宋体" w:hAnsi="宋体" w:cs="宋体"/>
                <w:bCs/>
                <w:szCs w:val="21"/>
              </w:rPr>
              <w:t>《承压设备用焊接材料订货技术条件》</w:t>
            </w:r>
          </w:p>
        </w:tc>
        <w:tc>
          <w:tcPr>
            <w:tcW w:w="3661" w:type="dxa"/>
            <w:vAlign w:val="center"/>
          </w:tcPr>
          <w:p>
            <w:pPr>
              <w:tabs>
                <w:tab w:val="left" w:pos="360"/>
              </w:tabs>
              <w:adjustRightInd w:val="0"/>
              <w:snapToGrid w:val="0"/>
              <w:spacing w:line="360" w:lineRule="auto"/>
              <w:jc w:val="left"/>
              <w:rPr>
                <w:rFonts w:ascii="宋体" w:hAnsi="宋体" w:cs="宋体"/>
                <w:bCs/>
                <w:szCs w:val="21"/>
              </w:rPr>
            </w:pPr>
            <w:r>
              <w:rPr>
                <w:rFonts w:hint="eastAsia" w:ascii="宋体" w:hAnsi="宋体" w:cs="宋体"/>
                <w:bCs/>
                <w:szCs w:val="21"/>
              </w:rPr>
              <w:t>NB/T 47018－2017</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1" w:type="dxa"/>
            <w:vAlign w:val="center"/>
          </w:tcPr>
          <w:p>
            <w:pPr>
              <w:tabs>
                <w:tab w:val="left" w:pos="360"/>
              </w:tabs>
              <w:adjustRightInd w:val="0"/>
              <w:snapToGrid w:val="0"/>
              <w:spacing w:line="360" w:lineRule="auto"/>
              <w:jc w:val="center"/>
              <w:rPr>
                <w:rFonts w:ascii="宋体" w:hAnsi="宋体" w:cs="宋体"/>
                <w:bCs/>
                <w:szCs w:val="21"/>
              </w:rPr>
            </w:pPr>
            <w:r>
              <w:rPr>
                <w:rFonts w:hint="eastAsia" w:ascii="宋体" w:hAnsi="宋体" w:cs="宋体"/>
                <w:bCs/>
                <w:szCs w:val="21"/>
              </w:rPr>
              <w:t>17</w:t>
            </w:r>
          </w:p>
        </w:tc>
        <w:tc>
          <w:tcPr>
            <w:tcW w:w="4425" w:type="dxa"/>
            <w:vAlign w:val="center"/>
          </w:tcPr>
          <w:p>
            <w:pPr>
              <w:tabs>
                <w:tab w:val="left" w:pos="360"/>
              </w:tabs>
              <w:adjustRightInd w:val="0"/>
              <w:snapToGrid w:val="0"/>
              <w:spacing w:line="360" w:lineRule="auto"/>
              <w:jc w:val="left"/>
              <w:rPr>
                <w:rFonts w:ascii="宋体" w:hAnsi="宋体" w:cs="宋体"/>
                <w:bCs/>
                <w:szCs w:val="21"/>
              </w:rPr>
            </w:pPr>
            <w:r>
              <w:rPr>
                <w:rFonts w:hint="eastAsia" w:ascii="宋体" w:hAnsi="宋体" w:cs="宋体"/>
                <w:bCs/>
                <w:szCs w:val="21"/>
              </w:rPr>
              <w:t>《锅炉安装工程施工及验收规范》</w:t>
            </w:r>
          </w:p>
        </w:tc>
        <w:tc>
          <w:tcPr>
            <w:tcW w:w="3661" w:type="dxa"/>
            <w:vAlign w:val="center"/>
          </w:tcPr>
          <w:p>
            <w:pPr>
              <w:tabs>
                <w:tab w:val="left" w:pos="360"/>
              </w:tabs>
              <w:adjustRightInd w:val="0"/>
              <w:snapToGrid w:val="0"/>
              <w:spacing w:line="360" w:lineRule="auto"/>
              <w:jc w:val="left"/>
              <w:rPr>
                <w:rFonts w:ascii="宋体" w:hAnsi="宋体" w:cs="宋体"/>
                <w:bCs/>
                <w:szCs w:val="21"/>
              </w:rPr>
            </w:pPr>
            <w:r>
              <w:rPr>
                <w:rFonts w:hint="eastAsia" w:ascii="宋体" w:hAnsi="宋体" w:cs="宋体"/>
                <w:bCs/>
                <w:szCs w:val="21"/>
              </w:rPr>
              <w:t>GB 50273－2022</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1" w:type="dxa"/>
            <w:tcBorders>
              <w:bottom w:val="single" w:color="auto" w:sz="4" w:space="0"/>
            </w:tcBorders>
            <w:vAlign w:val="center"/>
          </w:tcPr>
          <w:p>
            <w:pPr>
              <w:tabs>
                <w:tab w:val="left" w:pos="360"/>
              </w:tabs>
              <w:adjustRightInd w:val="0"/>
              <w:snapToGrid w:val="0"/>
              <w:spacing w:line="360" w:lineRule="auto"/>
              <w:jc w:val="center"/>
              <w:rPr>
                <w:rFonts w:ascii="宋体" w:hAnsi="宋体" w:cs="宋体"/>
                <w:bCs/>
                <w:szCs w:val="21"/>
              </w:rPr>
            </w:pPr>
            <w:r>
              <w:rPr>
                <w:rFonts w:hint="eastAsia" w:ascii="宋体" w:hAnsi="宋体" w:cs="宋体"/>
                <w:bCs/>
                <w:szCs w:val="21"/>
              </w:rPr>
              <w:t>18</w:t>
            </w:r>
          </w:p>
        </w:tc>
        <w:tc>
          <w:tcPr>
            <w:tcW w:w="4425" w:type="dxa"/>
            <w:tcBorders>
              <w:bottom w:val="single" w:color="auto" w:sz="4" w:space="0"/>
            </w:tcBorders>
            <w:vAlign w:val="center"/>
          </w:tcPr>
          <w:p>
            <w:pPr>
              <w:tabs>
                <w:tab w:val="left" w:pos="360"/>
              </w:tabs>
              <w:adjustRightInd w:val="0"/>
              <w:snapToGrid w:val="0"/>
              <w:spacing w:line="360" w:lineRule="auto"/>
              <w:jc w:val="left"/>
              <w:rPr>
                <w:rFonts w:ascii="宋体" w:hAnsi="宋体" w:cs="宋体"/>
                <w:bCs/>
                <w:szCs w:val="21"/>
              </w:rPr>
            </w:pPr>
            <w:r>
              <w:rPr>
                <w:rFonts w:hint="eastAsia" w:ascii="宋体" w:hAnsi="宋体" w:cs="宋体"/>
                <w:bCs/>
                <w:szCs w:val="21"/>
              </w:rPr>
              <w:t>其他相关法律法规、安全技术规范、标准</w:t>
            </w:r>
          </w:p>
        </w:tc>
        <w:tc>
          <w:tcPr>
            <w:tcW w:w="3661" w:type="dxa"/>
            <w:tcBorders>
              <w:bottom w:val="single" w:color="auto" w:sz="4" w:space="0"/>
            </w:tcBorders>
            <w:vAlign w:val="center"/>
          </w:tcPr>
          <w:p>
            <w:pPr>
              <w:tabs>
                <w:tab w:val="left" w:pos="360"/>
              </w:tabs>
              <w:adjustRightInd w:val="0"/>
              <w:snapToGrid w:val="0"/>
              <w:spacing w:line="360" w:lineRule="auto"/>
              <w:jc w:val="left"/>
              <w:rPr>
                <w:rFonts w:ascii="宋体" w:hAnsi="宋体" w:cs="宋体"/>
                <w:bCs/>
                <w:szCs w:val="21"/>
              </w:rPr>
            </w:pPr>
          </w:p>
        </w:tc>
      </w:tr>
    </w:tbl>
    <w:p>
      <w:pPr>
        <w:spacing w:line="360" w:lineRule="auto"/>
        <w:ind w:firstLine="480" w:firstLineChars="200"/>
        <w:rPr>
          <w:rFonts w:ascii="宋体" w:hAnsi="宋体" w:cs="宋体"/>
          <w:bCs/>
          <w:sz w:val="24"/>
        </w:rPr>
      </w:pPr>
      <w:r>
        <w:rPr>
          <w:rFonts w:hint="eastAsia" w:ascii="宋体" w:hAnsi="宋体" w:cs="宋体"/>
          <w:bCs/>
          <w:sz w:val="24"/>
        </w:rPr>
        <w:t>注：法律法规、安全技术规范、标准应为现行有效版本。</w:t>
      </w:r>
    </w:p>
    <w:p>
      <w:pPr>
        <w:rPr>
          <w:rFonts w:ascii="宋体" w:hAnsi="宋体" w:cs="宋体"/>
          <w:bCs/>
          <w:sz w:val="24"/>
        </w:rPr>
      </w:pPr>
      <w:r>
        <w:rPr>
          <w:rFonts w:hint="eastAsia" w:ascii="宋体" w:hAnsi="宋体" w:cs="宋体"/>
          <w:bCs/>
          <w:sz w:val="24"/>
        </w:rPr>
        <w:br w:type="page"/>
      </w:r>
    </w:p>
    <w:p>
      <w:pPr>
        <w:spacing w:line="360" w:lineRule="auto"/>
        <w:rPr>
          <w:rFonts w:ascii="宋体" w:hAnsi="宋体" w:cs="宋体"/>
          <w:bCs/>
          <w:sz w:val="24"/>
        </w:rPr>
      </w:pPr>
      <w:r>
        <w:rPr>
          <w:rFonts w:hint="eastAsia" w:ascii="宋体" w:hAnsi="宋体" w:cs="宋体"/>
          <w:bCs/>
          <w:sz w:val="24"/>
        </w:rPr>
        <w:t xml:space="preserve">附录C          </w:t>
      </w:r>
    </w:p>
    <w:p>
      <w:pPr>
        <w:spacing w:line="360" w:lineRule="auto"/>
        <w:jc w:val="center"/>
        <w:rPr>
          <w:rFonts w:ascii="黑体" w:hAnsi="黑体" w:eastAsia="黑体" w:cs="黑体"/>
          <w:b/>
          <w:sz w:val="32"/>
          <w:szCs w:val="32"/>
        </w:rPr>
      </w:pPr>
      <w:r>
        <w:rPr>
          <w:rFonts w:hint="eastAsia" w:ascii="黑体" w:hAnsi="黑体" w:eastAsia="黑体" w:cs="黑体"/>
          <w:b/>
          <w:sz w:val="32"/>
          <w:szCs w:val="32"/>
        </w:rPr>
        <w:t>质量保证体系评审要求</w:t>
      </w:r>
    </w:p>
    <w:p>
      <w:pPr>
        <w:spacing w:line="360" w:lineRule="auto"/>
        <w:ind w:firstLine="480" w:firstLineChars="200"/>
        <w:rPr>
          <w:rFonts w:ascii="宋体" w:hAnsi="宋体" w:cs="宋体"/>
          <w:bCs/>
          <w:sz w:val="24"/>
        </w:rPr>
      </w:pPr>
      <w:r>
        <w:rPr>
          <w:rFonts w:hint="eastAsia" w:ascii="宋体" w:hAnsi="宋体" w:cs="宋体"/>
          <w:bCs/>
          <w:sz w:val="24"/>
        </w:rPr>
        <w:t>C1 一般要求</w:t>
      </w:r>
    </w:p>
    <w:p>
      <w:pPr>
        <w:spacing w:line="360" w:lineRule="auto"/>
        <w:ind w:firstLine="480" w:firstLineChars="200"/>
        <w:rPr>
          <w:rFonts w:ascii="宋体" w:hAnsi="宋体" w:cs="宋体"/>
          <w:bCs/>
          <w:sz w:val="24"/>
        </w:rPr>
      </w:pPr>
      <w:r>
        <w:rPr>
          <w:rFonts w:hint="eastAsia" w:ascii="宋体" w:hAnsi="宋体" w:cs="宋体"/>
          <w:bCs/>
          <w:sz w:val="24"/>
        </w:rPr>
        <w:t>特种设备质量保证体系是指生产单位为了使产品、过程、服务达到质量要求所进行的全部有计划有组织的监督和控制活动，并且提供相应的证据，确保使用单位、政府监督管理部门及社会等对其质量的信任。</w:t>
      </w:r>
    </w:p>
    <w:p>
      <w:pPr>
        <w:spacing w:line="360" w:lineRule="auto"/>
        <w:ind w:firstLine="480" w:firstLineChars="200"/>
        <w:rPr>
          <w:rFonts w:ascii="宋体" w:hAnsi="宋体" w:cs="宋体"/>
          <w:bCs/>
          <w:sz w:val="24"/>
        </w:rPr>
      </w:pPr>
      <w:r>
        <w:rPr>
          <w:rFonts w:hint="eastAsia" w:ascii="宋体" w:hAnsi="宋体" w:cs="宋体"/>
          <w:bCs/>
          <w:sz w:val="24"/>
        </w:rPr>
        <w:t>C1.1 建立原则</w:t>
      </w:r>
    </w:p>
    <w:p>
      <w:pPr>
        <w:spacing w:line="360" w:lineRule="auto"/>
        <w:ind w:firstLine="480" w:firstLineChars="200"/>
        <w:rPr>
          <w:rFonts w:ascii="宋体" w:hAnsi="宋体" w:cs="宋体"/>
          <w:bCs/>
          <w:sz w:val="24"/>
        </w:rPr>
      </w:pPr>
      <w:r>
        <w:rPr>
          <w:rFonts w:hint="eastAsia" w:ascii="宋体" w:hAnsi="宋体" w:cs="宋体"/>
          <w:bCs/>
          <w:sz w:val="24"/>
        </w:rPr>
        <w:t>锅炉制造单位应当结合许可范围的特性和实际情况，按照以下原则建立质量保证体系，并且得到有效实施：</w:t>
      </w:r>
    </w:p>
    <w:p>
      <w:pPr>
        <w:spacing w:line="360" w:lineRule="auto"/>
        <w:ind w:firstLine="480" w:firstLineChars="200"/>
        <w:rPr>
          <w:rFonts w:ascii="宋体" w:hAnsi="宋体" w:cs="宋体"/>
          <w:bCs/>
          <w:sz w:val="24"/>
        </w:rPr>
      </w:pPr>
      <w:r>
        <w:rPr>
          <w:rFonts w:hint="eastAsia" w:ascii="宋体" w:hAnsi="宋体" w:cs="宋体"/>
          <w:bCs/>
          <w:sz w:val="24"/>
        </w:rPr>
        <w:t>（1）符合国家法律法规、安全技术规范及相关标准；</w:t>
      </w:r>
    </w:p>
    <w:p>
      <w:pPr>
        <w:spacing w:line="360" w:lineRule="auto"/>
        <w:ind w:firstLine="480" w:firstLineChars="200"/>
        <w:rPr>
          <w:rFonts w:ascii="宋体" w:hAnsi="宋体" w:cs="宋体"/>
          <w:bCs/>
          <w:sz w:val="24"/>
        </w:rPr>
      </w:pPr>
      <w:r>
        <w:rPr>
          <w:rFonts w:hint="eastAsia" w:ascii="宋体" w:hAnsi="宋体" w:cs="宋体"/>
          <w:bCs/>
          <w:sz w:val="24"/>
        </w:rPr>
        <w:t>（2）能够对锅炉制造安全性能实施有效控制；</w:t>
      </w:r>
    </w:p>
    <w:p>
      <w:pPr>
        <w:spacing w:line="360" w:lineRule="auto"/>
        <w:ind w:firstLine="480" w:firstLineChars="200"/>
        <w:rPr>
          <w:rFonts w:ascii="宋体" w:hAnsi="宋体" w:cs="宋体"/>
          <w:bCs/>
          <w:sz w:val="24"/>
        </w:rPr>
      </w:pPr>
      <w:r>
        <w:rPr>
          <w:rFonts w:hint="eastAsia" w:ascii="宋体" w:hAnsi="宋体" w:cs="宋体"/>
          <w:bCs/>
          <w:sz w:val="24"/>
        </w:rPr>
        <w:t>（3）质量方针、质量目标适合实际情况；</w:t>
      </w:r>
    </w:p>
    <w:p>
      <w:pPr>
        <w:spacing w:line="360" w:lineRule="auto"/>
        <w:ind w:firstLine="480" w:firstLineChars="200"/>
        <w:rPr>
          <w:rFonts w:ascii="宋体" w:hAnsi="宋体" w:cs="宋体"/>
          <w:bCs/>
          <w:sz w:val="24"/>
        </w:rPr>
      </w:pPr>
      <w:r>
        <w:rPr>
          <w:rFonts w:hint="eastAsia" w:ascii="宋体" w:hAnsi="宋体" w:cs="宋体"/>
          <w:bCs/>
          <w:sz w:val="24"/>
        </w:rPr>
        <w:t>（4）质量保证体系组织能够独立行使质量监督、控制职权；</w:t>
      </w:r>
    </w:p>
    <w:p>
      <w:pPr>
        <w:spacing w:line="360" w:lineRule="auto"/>
        <w:ind w:firstLine="480" w:firstLineChars="200"/>
        <w:rPr>
          <w:rFonts w:ascii="宋体" w:hAnsi="宋体" w:cs="宋体"/>
          <w:bCs/>
          <w:sz w:val="24"/>
        </w:rPr>
      </w:pPr>
      <w:r>
        <w:rPr>
          <w:rFonts w:hint="eastAsia" w:ascii="宋体" w:hAnsi="宋体" w:cs="宋体"/>
          <w:bCs/>
          <w:sz w:val="24"/>
        </w:rPr>
        <w:t>（5）质量保证体系人员（包括质量保证工程师、各质量控制系统责任人员）职责、权限及各质量控制系统的工作接口明确；</w:t>
      </w:r>
    </w:p>
    <w:p>
      <w:pPr>
        <w:spacing w:line="360" w:lineRule="auto"/>
        <w:ind w:firstLine="480" w:firstLineChars="200"/>
        <w:rPr>
          <w:rFonts w:ascii="宋体" w:hAnsi="宋体" w:cs="宋体"/>
          <w:bCs/>
          <w:sz w:val="24"/>
        </w:rPr>
      </w:pPr>
      <w:r>
        <w:rPr>
          <w:rFonts w:hint="eastAsia" w:ascii="宋体" w:hAnsi="宋体" w:cs="宋体"/>
          <w:bCs/>
          <w:sz w:val="24"/>
        </w:rPr>
        <w:t>（6）质量保证体系的基本要素及相关质量控制系统的控制范围、程序、内容、记录齐全；</w:t>
      </w:r>
    </w:p>
    <w:p>
      <w:pPr>
        <w:spacing w:line="360" w:lineRule="auto"/>
        <w:ind w:firstLine="480" w:firstLineChars="200"/>
        <w:rPr>
          <w:rFonts w:ascii="宋体" w:hAnsi="宋体" w:cs="宋体"/>
          <w:bCs/>
          <w:sz w:val="24"/>
        </w:rPr>
      </w:pPr>
      <w:r>
        <w:rPr>
          <w:rFonts w:hint="eastAsia" w:ascii="宋体" w:hAnsi="宋体" w:cs="宋体"/>
          <w:bCs/>
          <w:sz w:val="24"/>
        </w:rPr>
        <w:t>（7）质量保证体系文件规范、系统、齐全；</w:t>
      </w:r>
    </w:p>
    <w:p>
      <w:pPr>
        <w:spacing w:line="360" w:lineRule="auto"/>
        <w:ind w:firstLine="480" w:firstLineChars="200"/>
        <w:rPr>
          <w:rFonts w:ascii="宋体" w:hAnsi="宋体" w:cs="宋体"/>
          <w:bCs/>
          <w:sz w:val="24"/>
        </w:rPr>
      </w:pPr>
      <w:r>
        <w:rPr>
          <w:rFonts w:hint="eastAsia" w:ascii="宋体" w:hAnsi="宋体" w:cs="宋体"/>
          <w:bCs/>
          <w:sz w:val="24"/>
        </w:rPr>
        <w:t>（8）满足特种设备许可制度的规定。</w:t>
      </w:r>
    </w:p>
    <w:p>
      <w:pPr>
        <w:spacing w:line="360" w:lineRule="auto"/>
        <w:ind w:firstLine="480" w:firstLineChars="200"/>
        <w:rPr>
          <w:rFonts w:ascii="宋体" w:hAnsi="宋体" w:cs="宋体"/>
          <w:bCs/>
          <w:sz w:val="24"/>
        </w:rPr>
      </w:pPr>
      <w:r>
        <w:rPr>
          <w:rFonts w:hint="eastAsia" w:ascii="宋体" w:hAnsi="宋体" w:cs="宋体"/>
          <w:bCs/>
          <w:sz w:val="24"/>
        </w:rPr>
        <w:t xml:space="preserve">C1.2 质量保证体系组织 </w:t>
      </w:r>
    </w:p>
    <w:p>
      <w:pPr>
        <w:spacing w:line="360" w:lineRule="auto"/>
        <w:ind w:firstLine="480" w:firstLineChars="200"/>
        <w:rPr>
          <w:rFonts w:ascii="宋体" w:hAnsi="宋体" w:cs="宋体"/>
          <w:bCs/>
          <w:sz w:val="24"/>
        </w:rPr>
      </w:pPr>
      <w:r>
        <w:rPr>
          <w:rFonts w:hint="eastAsia" w:ascii="宋体" w:hAnsi="宋体" w:cs="宋体"/>
          <w:bCs/>
          <w:sz w:val="24"/>
        </w:rPr>
        <w:t>生产单位法定代表人（主要负责人）、质量保证工程师、各质量控制系统责任人员、有关责任人员，以及其所赋予的相应职权，构成质量保证体系组织，对生产过程实施有效质量监督和控制。</w:t>
      </w:r>
    </w:p>
    <w:p>
      <w:pPr>
        <w:spacing w:line="360" w:lineRule="auto"/>
        <w:ind w:firstLine="480" w:firstLineChars="200"/>
        <w:rPr>
          <w:rFonts w:ascii="宋体" w:hAnsi="宋体" w:cs="宋体"/>
          <w:bCs/>
          <w:sz w:val="24"/>
        </w:rPr>
      </w:pPr>
      <w:r>
        <w:rPr>
          <w:rFonts w:hint="eastAsia" w:ascii="宋体" w:hAnsi="宋体" w:cs="宋体"/>
          <w:bCs/>
          <w:sz w:val="24"/>
        </w:rPr>
        <w:t>C1.2.1 人员</w:t>
      </w:r>
    </w:p>
    <w:p>
      <w:pPr>
        <w:spacing w:line="360" w:lineRule="auto"/>
        <w:ind w:firstLine="480" w:firstLineChars="200"/>
        <w:rPr>
          <w:rFonts w:ascii="宋体" w:hAnsi="宋体" w:cs="宋体"/>
          <w:bCs/>
          <w:sz w:val="24"/>
        </w:rPr>
      </w:pPr>
      <w:r>
        <w:rPr>
          <w:rFonts w:hint="eastAsia" w:ascii="宋体" w:hAnsi="宋体" w:cs="宋体"/>
          <w:bCs/>
          <w:sz w:val="24"/>
        </w:rPr>
        <w:t>质量保证工程师和各质量控制系统责任人员经正式任命。质量保证工程师应是单位管理层成员。</w:t>
      </w:r>
    </w:p>
    <w:p>
      <w:pPr>
        <w:spacing w:line="360" w:lineRule="auto"/>
        <w:ind w:firstLine="480" w:firstLineChars="200"/>
        <w:rPr>
          <w:rFonts w:ascii="宋体" w:hAnsi="宋体" w:cs="宋体"/>
          <w:bCs/>
          <w:sz w:val="24"/>
        </w:rPr>
      </w:pPr>
      <w:r>
        <w:rPr>
          <w:rFonts w:hint="eastAsia" w:ascii="宋体" w:hAnsi="宋体" w:cs="宋体"/>
          <w:bCs/>
          <w:sz w:val="24"/>
        </w:rPr>
        <w:t>C1.2.2 人员职权</w:t>
      </w:r>
    </w:p>
    <w:p>
      <w:pPr>
        <w:spacing w:line="360" w:lineRule="auto"/>
        <w:ind w:firstLine="480" w:firstLineChars="200"/>
        <w:rPr>
          <w:rFonts w:ascii="宋体" w:hAnsi="宋体" w:cs="宋体"/>
          <w:bCs/>
          <w:sz w:val="24"/>
        </w:rPr>
      </w:pPr>
      <w:r>
        <w:rPr>
          <w:rFonts w:hint="eastAsia" w:ascii="宋体" w:hAnsi="宋体" w:cs="宋体"/>
          <w:bCs/>
          <w:sz w:val="24"/>
        </w:rPr>
        <w:t>C1.2.2.1 法定代表人（主要负责人）</w:t>
      </w:r>
    </w:p>
    <w:p>
      <w:pPr>
        <w:spacing w:line="360" w:lineRule="auto"/>
        <w:ind w:firstLine="480" w:firstLineChars="200"/>
        <w:rPr>
          <w:rFonts w:ascii="宋体" w:hAnsi="宋体" w:cs="宋体"/>
          <w:bCs/>
          <w:sz w:val="24"/>
        </w:rPr>
      </w:pPr>
      <w:r>
        <w:rPr>
          <w:rFonts w:hint="eastAsia" w:ascii="宋体" w:hAnsi="宋体" w:cs="宋体"/>
          <w:bCs/>
          <w:sz w:val="24"/>
        </w:rPr>
        <w:t>法定代表人（主要负责人）是特种设备安全、质量的第一责任人。</w:t>
      </w:r>
    </w:p>
    <w:p>
      <w:pPr>
        <w:spacing w:line="360" w:lineRule="auto"/>
        <w:ind w:firstLine="480" w:firstLineChars="200"/>
        <w:rPr>
          <w:rFonts w:ascii="宋体" w:hAnsi="宋体" w:cs="宋体"/>
          <w:bCs/>
          <w:sz w:val="24"/>
        </w:rPr>
      </w:pPr>
      <w:r>
        <w:rPr>
          <w:rFonts w:hint="eastAsia" w:ascii="宋体" w:hAnsi="宋体" w:cs="宋体"/>
          <w:bCs/>
          <w:sz w:val="24"/>
        </w:rPr>
        <w:t>C1.2.2.2 质量保证工程师</w:t>
      </w:r>
    </w:p>
    <w:p>
      <w:pPr>
        <w:spacing w:line="360" w:lineRule="auto"/>
        <w:ind w:firstLine="480" w:firstLineChars="200"/>
        <w:rPr>
          <w:rFonts w:ascii="宋体" w:hAnsi="宋体" w:cs="宋体"/>
          <w:bCs/>
          <w:sz w:val="24"/>
        </w:rPr>
      </w:pPr>
      <w:r>
        <w:rPr>
          <w:rFonts w:hint="eastAsia" w:ascii="宋体" w:hAnsi="宋体" w:cs="宋体"/>
          <w:bCs/>
          <w:sz w:val="24"/>
        </w:rPr>
        <w:t>（1）组织贯彻、实施有关特种设备的法律法规、安全技术规范及相关标准，对质量保证系统的实施负责；</w:t>
      </w:r>
    </w:p>
    <w:p>
      <w:pPr>
        <w:spacing w:line="360" w:lineRule="auto"/>
        <w:ind w:firstLine="480" w:firstLineChars="200"/>
        <w:rPr>
          <w:rFonts w:ascii="宋体" w:hAnsi="宋体" w:cs="宋体"/>
          <w:bCs/>
          <w:sz w:val="24"/>
        </w:rPr>
      </w:pPr>
      <w:r>
        <w:rPr>
          <w:rFonts w:hint="eastAsia" w:ascii="宋体" w:hAnsi="宋体" w:cs="宋体"/>
          <w:bCs/>
          <w:sz w:val="24"/>
        </w:rPr>
        <w:t>（2）组织制订质量保证手册、程序文件等质量保证体系文件，批准程序文件；</w:t>
      </w:r>
    </w:p>
    <w:p>
      <w:pPr>
        <w:spacing w:line="360" w:lineRule="auto"/>
        <w:ind w:firstLine="480" w:firstLineChars="200"/>
        <w:rPr>
          <w:rFonts w:ascii="宋体" w:hAnsi="宋体" w:cs="宋体"/>
          <w:bCs/>
          <w:sz w:val="24"/>
        </w:rPr>
      </w:pPr>
      <w:r>
        <w:rPr>
          <w:rFonts w:hint="eastAsia" w:ascii="宋体" w:hAnsi="宋体" w:cs="宋体"/>
          <w:bCs/>
          <w:sz w:val="24"/>
        </w:rPr>
        <w:t>（3）指导和协调、监督和检查质量保证体系各质量控制系统的工作；</w:t>
      </w:r>
    </w:p>
    <w:p>
      <w:pPr>
        <w:spacing w:line="360" w:lineRule="auto"/>
        <w:ind w:firstLine="480" w:firstLineChars="200"/>
        <w:rPr>
          <w:rFonts w:ascii="宋体" w:hAnsi="宋体" w:cs="宋体"/>
          <w:bCs/>
          <w:sz w:val="24"/>
        </w:rPr>
      </w:pPr>
      <w:r>
        <w:rPr>
          <w:rFonts w:hint="eastAsia" w:ascii="宋体" w:hAnsi="宋体" w:cs="宋体"/>
          <w:bCs/>
          <w:sz w:val="24"/>
        </w:rPr>
        <w:t>（4）定期组织质量分析、质量审核，并且协助进行管理评审工作；</w:t>
      </w:r>
    </w:p>
    <w:p>
      <w:pPr>
        <w:spacing w:line="360" w:lineRule="auto"/>
        <w:ind w:firstLine="480" w:firstLineChars="200"/>
        <w:rPr>
          <w:rFonts w:ascii="宋体" w:hAnsi="宋体" w:cs="宋体"/>
          <w:bCs/>
          <w:sz w:val="24"/>
        </w:rPr>
      </w:pPr>
      <w:r>
        <w:rPr>
          <w:rFonts w:hint="eastAsia" w:ascii="宋体" w:hAnsi="宋体" w:cs="宋体"/>
          <w:bCs/>
          <w:sz w:val="24"/>
        </w:rPr>
        <w:t>（5）实施对不合格品（项）的控制，行使质量一票否决权；</w:t>
      </w:r>
    </w:p>
    <w:p>
      <w:pPr>
        <w:spacing w:line="360" w:lineRule="auto"/>
        <w:ind w:firstLine="480" w:firstLineChars="200"/>
        <w:rPr>
          <w:rFonts w:ascii="宋体" w:hAnsi="宋体" w:cs="宋体"/>
          <w:bCs/>
          <w:sz w:val="24"/>
        </w:rPr>
      </w:pPr>
      <w:r>
        <w:rPr>
          <w:rFonts w:hint="eastAsia" w:ascii="宋体" w:hAnsi="宋体" w:cs="宋体"/>
          <w:bCs/>
          <w:sz w:val="24"/>
        </w:rPr>
        <w:t>（6）组织建立和健全内外部质量信息反馈和处理的信息系统；</w:t>
      </w:r>
    </w:p>
    <w:p>
      <w:pPr>
        <w:spacing w:line="360" w:lineRule="auto"/>
        <w:ind w:firstLine="480" w:firstLineChars="200"/>
        <w:rPr>
          <w:rFonts w:ascii="宋体" w:hAnsi="宋体" w:cs="宋体"/>
          <w:bCs/>
          <w:sz w:val="24"/>
        </w:rPr>
      </w:pPr>
      <w:r>
        <w:rPr>
          <w:rFonts w:hint="eastAsia" w:ascii="宋体" w:hAnsi="宋体" w:cs="宋体"/>
          <w:bCs/>
          <w:sz w:val="24"/>
        </w:rPr>
        <w:t>（7）有向特种设备安全监管部门如实反映质量问题的权力和义务；</w:t>
      </w:r>
    </w:p>
    <w:p>
      <w:pPr>
        <w:spacing w:line="360" w:lineRule="auto"/>
        <w:ind w:firstLine="480" w:firstLineChars="200"/>
        <w:rPr>
          <w:rFonts w:ascii="宋体" w:hAnsi="宋体" w:cs="宋体"/>
          <w:bCs/>
          <w:sz w:val="24"/>
        </w:rPr>
      </w:pPr>
      <w:r>
        <w:rPr>
          <w:rFonts w:hint="eastAsia" w:ascii="宋体" w:hAnsi="宋体" w:cs="宋体"/>
          <w:bCs/>
          <w:sz w:val="24"/>
        </w:rPr>
        <w:t>（8）组织对质量控制体系责任人员及其相关人员定期进行教育和培训。</w:t>
      </w:r>
    </w:p>
    <w:p>
      <w:pPr>
        <w:spacing w:line="360" w:lineRule="auto"/>
        <w:ind w:firstLine="480" w:firstLineChars="200"/>
        <w:rPr>
          <w:rFonts w:ascii="宋体" w:hAnsi="宋体" w:cs="宋体"/>
          <w:bCs/>
          <w:sz w:val="24"/>
        </w:rPr>
      </w:pPr>
      <w:r>
        <w:rPr>
          <w:rFonts w:hint="eastAsia" w:ascii="宋体" w:hAnsi="宋体" w:cs="宋体"/>
          <w:bCs/>
          <w:sz w:val="24"/>
        </w:rPr>
        <w:t>C1.2.2.3 质量控制系统责任人员</w:t>
      </w:r>
    </w:p>
    <w:p>
      <w:pPr>
        <w:spacing w:line="360" w:lineRule="auto"/>
        <w:ind w:firstLine="480" w:firstLineChars="200"/>
        <w:rPr>
          <w:rFonts w:ascii="宋体" w:hAnsi="宋体" w:cs="宋体"/>
          <w:bCs/>
          <w:sz w:val="24"/>
        </w:rPr>
      </w:pPr>
      <w:r>
        <w:rPr>
          <w:rFonts w:hint="eastAsia" w:ascii="宋体" w:hAnsi="宋体" w:cs="宋体"/>
          <w:bCs/>
          <w:sz w:val="24"/>
        </w:rPr>
        <w:t>在质量保证工程师的领导下，按照质量保证体系的要求，对所负责的质量控制系统履行以下职权，对控制系统是否有效实施负责：</w:t>
      </w:r>
    </w:p>
    <w:p>
      <w:pPr>
        <w:spacing w:line="360" w:lineRule="auto"/>
        <w:ind w:firstLine="480" w:firstLineChars="200"/>
        <w:rPr>
          <w:rFonts w:ascii="宋体" w:hAnsi="宋体" w:cs="宋体"/>
          <w:bCs/>
          <w:sz w:val="24"/>
        </w:rPr>
      </w:pPr>
      <w:r>
        <w:rPr>
          <w:rFonts w:hint="eastAsia" w:ascii="宋体" w:hAnsi="宋体" w:cs="宋体"/>
          <w:bCs/>
          <w:sz w:val="24"/>
        </w:rPr>
        <w:t>（1）负责审核质量控制程序文件；</w:t>
      </w:r>
    </w:p>
    <w:p>
      <w:pPr>
        <w:spacing w:line="360" w:lineRule="auto"/>
        <w:ind w:firstLine="480" w:firstLineChars="200"/>
        <w:rPr>
          <w:rFonts w:ascii="宋体" w:hAnsi="宋体" w:cs="宋体"/>
          <w:bCs/>
          <w:sz w:val="24"/>
        </w:rPr>
      </w:pPr>
      <w:r>
        <w:rPr>
          <w:rFonts w:hint="eastAsia" w:ascii="宋体" w:hAnsi="宋体" w:cs="宋体"/>
          <w:bCs/>
          <w:sz w:val="24"/>
        </w:rPr>
        <w:t>（2）审查确认相关工作见证，检查生产过程的质量控制程序和要求实施情况；</w:t>
      </w:r>
    </w:p>
    <w:p>
      <w:pPr>
        <w:spacing w:line="360" w:lineRule="auto"/>
        <w:ind w:firstLine="480" w:firstLineChars="200"/>
        <w:rPr>
          <w:rFonts w:ascii="宋体" w:hAnsi="宋体" w:cs="宋体"/>
          <w:bCs/>
          <w:sz w:val="24"/>
        </w:rPr>
      </w:pPr>
      <w:r>
        <w:rPr>
          <w:rFonts w:hint="eastAsia" w:ascii="宋体" w:hAnsi="宋体" w:cs="宋体"/>
          <w:bCs/>
          <w:sz w:val="24"/>
        </w:rPr>
        <w:t>（3）发现问题应当与当事人及时联系、解决，并且有权要求停止当事人的工作，将情况向质量保证工程师报告。</w:t>
      </w:r>
    </w:p>
    <w:p>
      <w:pPr>
        <w:spacing w:line="360" w:lineRule="auto"/>
        <w:ind w:firstLine="480" w:firstLineChars="200"/>
        <w:rPr>
          <w:rFonts w:ascii="宋体" w:hAnsi="宋体" w:cs="宋体"/>
          <w:bCs/>
          <w:sz w:val="24"/>
        </w:rPr>
      </w:pPr>
      <w:r>
        <w:rPr>
          <w:rFonts w:hint="eastAsia" w:ascii="宋体" w:hAnsi="宋体" w:cs="宋体"/>
          <w:bCs/>
          <w:sz w:val="24"/>
        </w:rPr>
        <w:t xml:space="preserve">C1.3 管理评审 </w:t>
      </w:r>
    </w:p>
    <w:p>
      <w:pPr>
        <w:spacing w:line="360" w:lineRule="auto"/>
        <w:ind w:firstLine="480" w:firstLineChars="200"/>
        <w:rPr>
          <w:rFonts w:ascii="宋体" w:hAnsi="宋体" w:cs="宋体"/>
          <w:bCs/>
          <w:sz w:val="24"/>
        </w:rPr>
      </w:pPr>
      <w:r>
        <w:rPr>
          <w:rFonts w:hint="eastAsia" w:ascii="宋体" w:hAnsi="宋体" w:cs="宋体"/>
          <w:bCs/>
          <w:sz w:val="24"/>
        </w:rPr>
        <w:t>管理层应当每年至少对锅炉制造质量保证体系的适应性、充分性和有效性进行一次管理评审，管理评审由法定代表人（主要负责人）负责，评审内容和结果应当予以记录，并且形成评审报告，由法定代表人（主要负责人）批准。</w:t>
      </w:r>
    </w:p>
    <w:p>
      <w:pPr>
        <w:spacing w:line="360" w:lineRule="auto"/>
        <w:ind w:firstLine="480" w:firstLineChars="200"/>
        <w:rPr>
          <w:rFonts w:ascii="宋体" w:hAnsi="宋体" w:cs="宋体"/>
          <w:bCs/>
          <w:sz w:val="24"/>
        </w:rPr>
      </w:pPr>
      <w:r>
        <w:rPr>
          <w:rFonts w:hint="eastAsia" w:ascii="宋体" w:hAnsi="宋体" w:cs="宋体"/>
          <w:bCs/>
          <w:sz w:val="24"/>
        </w:rPr>
        <w:t>C1.4 质量保证体系文件发生变化的管理</w:t>
      </w:r>
    </w:p>
    <w:p>
      <w:pPr>
        <w:spacing w:line="360" w:lineRule="auto"/>
        <w:ind w:firstLine="480" w:firstLineChars="200"/>
        <w:rPr>
          <w:rFonts w:ascii="宋体" w:hAnsi="宋体" w:cs="宋体"/>
          <w:bCs/>
          <w:sz w:val="24"/>
        </w:rPr>
      </w:pPr>
      <w:r>
        <w:rPr>
          <w:rFonts w:hint="eastAsia" w:ascii="宋体" w:hAnsi="宋体" w:cs="宋体"/>
          <w:bCs/>
          <w:sz w:val="24"/>
        </w:rPr>
        <w:t>质量保证体系发生变化时，应当及时按照规定程序进行完善，修订相应的质量保证体系文件，必要时对质量保证手册进行再版。</w:t>
      </w:r>
    </w:p>
    <w:p>
      <w:pPr>
        <w:spacing w:line="360" w:lineRule="auto"/>
        <w:ind w:firstLine="480" w:firstLineChars="200"/>
        <w:rPr>
          <w:rFonts w:ascii="宋体" w:hAnsi="宋体" w:cs="宋体"/>
          <w:bCs/>
          <w:sz w:val="24"/>
        </w:rPr>
      </w:pPr>
      <w:r>
        <w:rPr>
          <w:rFonts w:hint="eastAsia" w:ascii="宋体" w:hAnsi="宋体" w:cs="宋体"/>
          <w:bCs/>
          <w:sz w:val="24"/>
        </w:rPr>
        <w:t>C2 质量保证体系文件</w:t>
      </w:r>
    </w:p>
    <w:p>
      <w:pPr>
        <w:spacing w:line="360" w:lineRule="auto"/>
        <w:ind w:firstLine="480" w:firstLineChars="200"/>
        <w:rPr>
          <w:rFonts w:ascii="宋体" w:hAnsi="宋体" w:cs="宋体"/>
          <w:bCs/>
          <w:sz w:val="24"/>
        </w:rPr>
      </w:pPr>
      <w:r>
        <w:rPr>
          <w:rFonts w:hint="eastAsia" w:ascii="宋体" w:hAnsi="宋体" w:cs="宋体"/>
          <w:bCs/>
          <w:sz w:val="24"/>
        </w:rPr>
        <w:t xml:space="preserve">质量保证体系文件包括质量保证手册、程序文件、作业（工艺）文件（如作业指导书、工艺规程、工艺卡、操作规程等）、质量记录（表、卡）、质量计划等。 </w:t>
      </w:r>
    </w:p>
    <w:p>
      <w:pPr>
        <w:spacing w:line="360" w:lineRule="auto"/>
        <w:ind w:firstLine="480" w:firstLineChars="200"/>
        <w:rPr>
          <w:rFonts w:ascii="宋体" w:hAnsi="宋体" w:cs="宋体"/>
          <w:bCs/>
          <w:sz w:val="24"/>
        </w:rPr>
      </w:pPr>
      <w:r>
        <w:rPr>
          <w:rFonts w:hint="eastAsia" w:ascii="宋体" w:hAnsi="宋体" w:cs="宋体"/>
          <w:bCs/>
          <w:sz w:val="24"/>
        </w:rPr>
        <w:t xml:space="preserve">C2.1 质量保证手册 </w:t>
      </w:r>
    </w:p>
    <w:p>
      <w:pPr>
        <w:spacing w:line="360" w:lineRule="auto"/>
        <w:ind w:firstLine="480" w:firstLineChars="200"/>
        <w:rPr>
          <w:rFonts w:ascii="宋体" w:hAnsi="宋体" w:cs="宋体"/>
          <w:bCs/>
          <w:sz w:val="24"/>
        </w:rPr>
      </w:pPr>
      <w:r>
        <w:rPr>
          <w:rFonts w:hint="eastAsia" w:ascii="宋体" w:hAnsi="宋体" w:cs="宋体"/>
          <w:bCs/>
          <w:sz w:val="24"/>
        </w:rPr>
        <w:t>质量保证手册应当描述质量保证体系文件的结构层次和相互关系，并至少包括以下内容：</w:t>
      </w:r>
    </w:p>
    <w:p>
      <w:pPr>
        <w:spacing w:line="360" w:lineRule="auto"/>
        <w:ind w:firstLine="480" w:firstLineChars="200"/>
        <w:rPr>
          <w:rFonts w:ascii="宋体" w:hAnsi="宋体" w:cs="宋体"/>
          <w:bCs/>
          <w:sz w:val="24"/>
        </w:rPr>
      </w:pPr>
      <w:r>
        <w:rPr>
          <w:rFonts w:hint="eastAsia" w:ascii="宋体" w:hAnsi="宋体" w:cs="宋体"/>
          <w:bCs/>
          <w:sz w:val="24"/>
        </w:rPr>
        <w:t>（1）术语和缩写；</w:t>
      </w:r>
    </w:p>
    <w:p>
      <w:pPr>
        <w:spacing w:line="360" w:lineRule="auto"/>
        <w:ind w:firstLine="480" w:firstLineChars="200"/>
        <w:rPr>
          <w:rFonts w:ascii="宋体" w:hAnsi="宋体" w:cs="宋体"/>
          <w:bCs/>
          <w:sz w:val="24"/>
        </w:rPr>
      </w:pPr>
      <w:r>
        <w:rPr>
          <w:rFonts w:hint="eastAsia" w:ascii="宋体" w:hAnsi="宋体" w:cs="宋体"/>
          <w:bCs/>
          <w:sz w:val="24"/>
        </w:rPr>
        <w:t xml:space="preserve">（2）体系的适用范围； </w:t>
      </w:r>
    </w:p>
    <w:p>
      <w:pPr>
        <w:spacing w:line="360" w:lineRule="auto"/>
        <w:ind w:firstLine="480" w:firstLineChars="200"/>
        <w:rPr>
          <w:rFonts w:ascii="宋体" w:hAnsi="宋体" w:cs="宋体"/>
          <w:bCs/>
          <w:sz w:val="24"/>
        </w:rPr>
      </w:pPr>
      <w:r>
        <w:rPr>
          <w:rFonts w:hint="eastAsia" w:ascii="宋体" w:hAnsi="宋体" w:cs="宋体"/>
          <w:bCs/>
          <w:sz w:val="24"/>
        </w:rPr>
        <w:t xml:space="preserve">（3）质量方针和目标； </w:t>
      </w:r>
    </w:p>
    <w:p>
      <w:pPr>
        <w:spacing w:line="360" w:lineRule="auto"/>
        <w:ind w:firstLine="480" w:firstLineChars="200"/>
        <w:rPr>
          <w:rFonts w:ascii="宋体" w:hAnsi="宋体" w:cs="宋体"/>
          <w:bCs/>
          <w:sz w:val="24"/>
        </w:rPr>
      </w:pPr>
      <w:r>
        <w:rPr>
          <w:rFonts w:hint="eastAsia" w:ascii="宋体" w:hAnsi="宋体" w:cs="宋体"/>
          <w:bCs/>
          <w:sz w:val="24"/>
        </w:rPr>
        <w:t xml:space="preserve">（4）质量保证体系组织及管理职责； </w:t>
      </w:r>
    </w:p>
    <w:p>
      <w:pPr>
        <w:spacing w:line="360" w:lineRule="auto"/>
        <w:ind w:firstLine="480" w:firstLineChars="200"/>
        <w:rPr>
          <w:rFonts w:ascii="宋体" w:hAnsi="宋体" w:cs="宋体"/>
          <w:bCs/>
          <w:sz w:val="24"/>
        </w:rPr>
      </w:pPr>
      <w:r>
        <w:rPr>
          <w:rFonts w:hint="eastAsia" w:ascii="宋体" w:hAnsi="宋体" w:cs="宋体"/>
          <w:bCs/>
          <w:sz w:val="24"/>
        </w:rPr>
        <w:t xml:space="preserve">（5）质量保证体系基本要素、质量控制系统、控制环节、控制点的要求。 </w:t>
      </w:r>
    </w:p>
    <w:p>
      <w:pPr>
        <w:spacing w:line="360" w:lineRule="auto"/>
        <w:ind w:firstLine="480" w:firstLineChars="200"/>
        <w:rPr>
          <w:rFonts w:ascii="宋体" w:hAnsi="宋体" w:cs="宋体"/>
          <w:bCs/>
          <w:sz w:val="24"/>
        </w:rPr>
      </w:pPr>
      <w:r>
        <w:rPr>
          <w:rFonts w:hint="eastAsia" w:ascii="宋体" w:hAnsi="宋体" w:cs="宋体"/>
          <w:bCs/>
          <w:sz w:val="24"/>
        </w:rPr>
        <w:t xml:space="preserve">C2.2 程序文件 </w:t>
      </w:r>
    </w:p>
    <w:p>
      <w:pPr>
        <w:spacing w:line="360" w:lineRule="auto"/>
        <w:ind w:firstLine="480" w:firstLineChars="200"/>
        <w:rPr>
          <w:rFonts w:ascii="宋体" w:hAnsi="宋体" w:cs="宋体"/>
          <w:bCs/>
          <w:sz w:val="24"/>
        </w:rPr>
      </w:pPr>
      <w:r>
        <w:rPr>
          <w:rFonts w:hint="eastAsia" w:ascii="宋体" w:hAnsi="宋体" w:cs="宋体"/>
          <w:bCs/>
          <w:sz w:val="24"/>
        </w:rPr>
        <w:t xml:space="preserve">程序文件与质量方针相一致，满足质量保证手册基本要素要求，并且符合实际情况，具有可操作性。 </w:t>
      </w:r>
    </w:p>
    <w:p>
      <w:pPr>
        <w:spacing w:line="360" w:lineRule="auto"/>
        <w:ind w:firstLine="480" w:firstLineChars="200"/>
        <w:rPr>
          <w:rFonts w:ascii="宋体" w:hAnsi="宋体" w:cs="宋体"/>
          <w:bCs/>
          <w:sz w:val="24"/>
        </w:rPr>
      </w:pPr>
      <w:r>
        <w:rPr>
          <w:rFonts w:hint="eastAsia" w:ascii="宋体" w:hAnsi="宋体" w:cs="宋体"/>
          <w:bCs/>
          <w:sz w:val="24"/>
        </w:rPr>
        <w:t xml:space="preserve">C2.3 作业（工艺）文件和质量记录 </w:t>
      </w:r>
    </w:p>
    <w:p>
      <w:pPr>
        <w:spacing w:line="360" w:lineRule="auto"/>
        <w:ind w:firstLine="480" w:firstLineChars="200"/>
        <w:rPr>
          <w:rFonts w:ascii="宋体" w:hAnsi="宋体" w:cs="宋体"/>
          <w:bCs/>
          <w:sz w:val="24"/>
        </w:rPr>
      </w:pPr>
      <w:r>
        <w:rPr>
          <w:rFonts w:hint="eastAsia" w:ascii="宋体" w:hAnsi="宋体" w:cs="宋体"/>
          <w:bCs/>
          <w:sz w:val="24"/>
        </w:rPr>
        <w:t xml:space="preserve">作业（工艺）文件和质量记录应当符合许可范围的特性，满足质量保证体系实施过程的控制需要。文件格式应当规范、统一。 </w:t>
      </w:r>
    </w:p>
    <w:p>
      <w:pPr>
        <w:spacing w:line="360" w:lineRule="auto"/>
        <w:ind w:firstLine="480" w:firstLineChars="200"/>
        <w:rPr>
          <w:rFonts w:ascii="宋体" w:hAnsi="宋体" w:cs="宋体"/>
          <w:bCs/>
          <w:sz w:val="24"/>
        </w:rPr>
      </w:pPr>
      <w:r>
        <w:rPr>
          <w:rFonts w:hint="eastAsia" w:ascii="宋体" w:hAnsi="宋体" w:cs="宋体"/>
          <w:bCs/>
          <w:sz w:val="24"/>
        </w:rPr>
        <w:t xml:space="preserve">C2.4 审查质量计划 </w:t>
      </w:r>
    </w:p>
    <w:p>
      <w:pPr>
        <w:spacing w:line="360" w:lineRule="auto"/>
        <w:ind w:firstLine="480" w:firstLineChars="200"/>
        <w:rPr>
          <w:rFonts w:ascii="宋体" w:hAnsi="宋体" w:cs="宋体"/>
          <w:bCs/>
          <w:sz w:val="24"/>
        </w:rPr>
      </w:pPr>
      <w:r>
        <w:rPr>
          <w:rFonts w:hint="eastAsia" w:ascii="宋体" w:hAnsi="宋体" w:cs="宋体"/>
          <w:bCs/>
          <w:sz w:val="24"/>
        </w:rPr>
        <w:t xml:space="preserve">质量计划应当满足许可范围特性和单位实际情况，依据各质量控制系统的要求，合理设置控制环节、控制点，重点抽查其审核点、见证点、停止点的记录，且至少应包括控制内容和要求、过程中实际操作要求、质量控制系统责任人员和相关人员签字确认规定等。 </w:t>
      </w:r>
    </w:p>
    <w:p>
      <w:pPr>
        <w:spacing w:line="360" w:lineRule="auto"/>
        <w:ind w:firstLine="480" w:firstLineChars="200"/>
        <w:rPr>
          <w:rFonts w:ascii="宋体" w:hAnsi="宋体" w:cs="宋体"/>
          <w:bCs/>
          <w:sz w:val="24"/>
        </w:rPr>
      </w:pPr>
      <w:r>
        <w:rPr>
          <w:rFonts w:hint="eastAsia" w:ascii="宋体" w:hAnsi="宋体" w:cs="宋体"/>
          <w:bCs/>
          <w:sz w:val="24"/>
        </w:rPr>
        <w:t>C3 质量保证体系控制要素</w:t>
      </w:r>
    </w:p>
    <w:p>
      <w:pPr>
        <w:spacing w:line="360" w:lineRule="auto"/>
        <w:ind w:firstLine="480" w:firstLineChars="200"/>
        <w:rPr>
          <w:rFonts w:ascii="宋体" w:hAnsi="宋体" w:cs="宋体"/>
          <w:bCs/>
          <w:sz w:val="24"/>
        </w:rPr>
      </w:pPr>
      <w:r>
        <w:rPr>
          <w:rFonts w:hint="eastAsia" w:ascii="宋体" w:hAnsi="宋体" w:cs="宋体"/>
          <w:bCs/>
          <w:sz w:val="24"/>
        </w:rPr>
        <w:t>质量保证体系控制要素，包括文件和记录控制、合同控制、设计控制、材料与零部件控制、作业（工艺）控制、焊接控制、热处理控制、无损检测控制、理化检验控制、检验与试验控制、生产设备和检验试验装置控制、不合格品（项）控制、质量改进与服务、人员管理、执行特种设备许可制度等过程控制。</w:t>
      </w:r>
    </w:p>
    <w:p>
      <w:pPr>
        <w:spacing w:line="360" w:lineRule="auto"/>
        <w:ind w:firstLine="480" w:firstLineChars="200"/>
        <w:rPr>
          <w:rFonts w:ascii="宋体" w:hAnsi="宋体" w:cs="宋体"/>
          <w:bCs/>
          <w:sz w:val="24"/>
        </w:rPr>
      </w:pPr>
      <w:r>
        <w:rPr>
          <w:rFonts w:hint="eastAsia" w:ascii="宋体" w:hAnsi="宋体" w:cs="宋体"/>
          <w:bCs/>
          <w:sz w:val="24"/>
        </w:rPr>
        <w:t>C3.1 文件和记录控制</w:t>
      </w:r>
    </w:p>
    <w:p>
      <w:pPr>
        <w:spacing w:line="360" w:lineRule="auto"/>
        <w:ind w:firstLine="480" w:firstLineChars="200"/>
        <w:rPr>
          <w:rFonts w:ascii="宋体" w:hAnsi="宋体" w:cs="宋体"/>
          <w:bCs/>
          <w:sz w:val="24"/>
        </w:rPr>
      </w:pPr>
      <w:r>
        <w:rPr>
          <w:rFonts w:hint="eastAsia" w:ascii="宋体" w:hAnsi="宋体" w:cs="宋体"/>
          <w:bCs/>
          <w:sz w:val="24"/>
        </w:rPr>
        <w:t xml:space="preserve">C3.1.1 文件控制 </w:t>
      </w:r>
    </w:p>
    <w:p>
      <w:pPr>
        <w:spacing w:line="360" w:lineRule="auto"/>
        <w:ind w:firstLine="480" w:firstLineChars="200"/>
        <w:rPr>
          <w:rFonts w:ascii="宋体" w:hAnsi="宋体" w:cs="宋体"/>
          <w:bCs/>
          <w:sz w:val="24"/>
        </w:rPr>
      </w:pPr>
      <w:r>
        <w:rPr>
          <w:rFonts w:hint="eastAsia" w:ascii="宋体" w:hAnsi="宋体" w:cs="宋体"/>
          <w:bCs/>
          <w:sz w:val="24"/>
        </w:rPr>
        <w:t xml:space="preserve">（1）明确受控文件的类别，包括质量保证体系文件、外来文件、其他需控制的文件等； </w:t>
      </w:r>
    </w:p>
    <w:p>
      <w:pPr>
        <w:spacing w:line="360" w:lineRule="auto"/>
        <w:ind w:firstLine="480" w:firstLineChars="200"/>
        <w:rPr>
          <w:rFonts w:ascii="宋体" w:hAnsi="宋体" w:cs="宋体"/>
          <w:bCs/>
          <w:sz w:val="24"/>
        </w:rPr>
      </w:pPr>
      <w:r>
        <w:rPr>
          <w:rFonts w:hint="eastAsia" w:ascii="宋体" w:hAnsi="宋体" w:cs="宋体"/>
          <w:bCs/>
          <w:sz w:val="24"/>
        </w:rPr>
        <w:t>（2）明确文件的编制、会签、审批、标识、发放、修改、回收规定，其中外来文件控制还应当有收集、购买、接收等规定，重点抽查审批、发放、回收记录；</w:t>
      </w:r>
    </w:p>
    <w:p>
      <w:pPr>
        <w:spacing w:line="360" w:lineRule="auto"/>
        <w:ind w:firstLine="480" w:firstLineChars="200"/>
        <w:rPr>
          <w:rFonts w:ascii="宋体" w:hAnsi="宋体" w:cs="宋体"/>
          <w:bCs/>
          <w:sz w:val="24"/>
        </w:rPr>
      </w:pPr>
      <w:r>
        <w:rPr>
          <w:rFonts w:hint="eastAsia" w:ascii="宋体" w:hAnsi="宋体" w:cs="宋体"/>
          <w:bCs/>
          <w:sz w:val="24"/>
        </w:rPr>
        <w:t>（3）质量保证体系实施的相关部门、人员及场所使用的受控文件为有效版本的规定；</w:t>
      </w:r>
    </w:p>
    <w:p>
      <w:pPr>
        <w:spacing w:line="360" w:lineRule="auto"/>
        <w:ind w:firstLine="480" w:firstLineChars="200"/>
        <w:rPr>
          <w:rFonts w:ascii="宋体" w:hAnsi="宋体" w:cs="宋体"/>
          <w:bCs/>
          <w:sz w:val="24"/>
        </w:rPr>
      </w:pPr>
      <w:r>
        <w:rPr>
          <w:rFonts w:hint="eastAsia" w:ascii="宋体" w:hAnsi="宋体" w:cs="宋体"/>
          <w:bCs/>
          <w:sz w:val="24"/>
        </w:rPr>
        <w:t>（4）文件的保管方式、保管设施、保存期限及其销毁的规定。</w:t>
      </w:r>
    </w:p>
    <w:p>
      <w:pPr>
        <w:spacing w:line="360" w:lineRule="auto"/>
        <w:ind w:firstLine="480" w:firstLineChars="200"/>
        <w:rPr>
          <w:rFonts w:ascii="宋体" w:hAnsi="宋体" w:cs="宋体"/>
          <w:bCs/>
          <w:sz w:val="24"/>
        </w:rPr>
      </w:pPr>
      <w:r>
        <w:rPr>
          <w:rFonts w:hint="eastAsia" w:ascii="宋体" w:hAnsi="宋体" w:cs="宋体"/>
          <w:bCs/>
          <w:sz w:val="24"/>
        </w:rPr>
        <w:t xml:space="preserve">受控文件的类别确定、发放使用、销毁，应当由相应质量控制系统责任人员审查确认，作出记录。 </w:t>
      </w:r>
    </w:p>
    <w:p>
      <w:pPr>
        <w:spacing w:line="360" w:lineRule="auto"/>
        <w:ind w:firstLine="480" w:firstLineChars="200"/>
        <w:rPr>
          <w:rFonts w:ascii="宋体" w:hAnsi="宋体" w:cs="宋体"/>
          <w:bCs/>
          <w:sz w:val="24"/>
        </w:rPr>
      </w:pPr>
      <w:r>
        <w:rPr>
          <w:rFonts w:hint="eastAsia" w:ascii="宋体" w:hAnsi="宋体" w:cs="宋体"/>
          <w:bCs/>
          <w:sz w:val="24"/>
        </w:rPr>
        <w:t xml:space="preserve">C3.1.2 记录控制 </w:t>
      </w:r>
    </w:p>
    <w:p>
      <w:pPr>
        <w:spacing w:line="360" w:lineRule="auto"/>
        <w:ind w:firstLine="480" w:firstLineChars="200"/>
        <w:rPr>
          <w:rFonts w:ascii="宋体" w:hAnsi="宋体" w:cs="宋体"/>
          <w:bCs/>
          <w:sz w:val="24"/>
        </w:rPr>
      </w:pPr>
      <w:r>
        <w:rPr>
          <w:rFonts w:hint="eastAsia" w:ascii="宋体" w:hAnsi="宋体" w:cs="宋体"/>
          <w:bCs/>
          <w:sz w:val="24"/>
        </w:rPr>
        <w:t>（1）锅炉制造过程中形成的质量记录的填写、确认、收集、归档、贮存的规定，抽查质量记录与记录控制规程是否相符；</w:t>
      </w:r>
    </w:p>
    <w:p>
      <w:pPr>
        <w:spacing w:line="360" w:lineRule="auto"/>
        <w:ind w:firstLine="480" w:firstLineChars="200"/>
        <w:rPr>
          <w:rFonts w:ascii="宋体" w:hAnsi="宋体" w:cs="宋体"/>
          <w:bCs/>
          <w:sz w:val="24"/>
        </w:rPr>
      </w:pPr>
      <w:r>
        <w:rPr>
          <w:rFonts w:hint="eastAsia" w:ascii="宋体" w:hAnsi="宋体" w:cs="宋体"/>
          <w:bCs/>
          <w:sz w:val="24"/>
        </w:rPr>
        <w:t xml:space="preserve">（2）记录的保管和保存期限的规定； </w:t>
      </w:r>
    </w:p>
    <w:p>
      <w:pPr>
        <w:spacing w:line="360" w:lineRule="auto"/>
        <w:ind w:firstLine="480" w:firstLineChars="200"/>
        <w:rPr>
          <w:rFonts w:ascii="宋体" w:hAnsi="宋体" w:cs="宋体"/>
          <w:bCs/>
          <w:sz w:val="24"/>
        </w:rPr>
      </w:pPr>
      <w:r>
        <w:rPr>
          <w:rFonts w:hint="eastAsia" w:ascii="宋体" w:hAnsi="宋体" w:cs="宋体"/>
          <w:bCs/>
          <w:sz w:val="24"/>
        </w:rPr>
        <w:t>（3）质量保证体系实施部门、人员及场所使用相关受控记录表格为有效版本的规定。</w:t>
      </w:r>
    </w:p>
    <w:p>
      <w:pPr>
        <w:spacing w:line="360" w:lineRule="auto"/>
        <w:ind w:firstLine="480" w:firstLineChars="200"/>
        <w:rPr>
          <w:rFonts w:ascii="宋体" w:hAnsi="宋体" w:cs="宋体"/>
          <w:bCs/>
          <w:sz w:val="24"/>
        </w:rPr>
      </w:pPr>
      <w:r>
        <w:rPr>
          <w:rFonts w:hint="eastAsia" w:ascii="宋体" w:hAnsi="宋体" w:cs="宋体"/>
          <w:bCs/>
          <w:sz w:val="24"/>
        </w:rPr>
        <w:t>记录的归档、受控记录表格有效版本，由相应质量控制系统责任人员进行审查确认，并且对记录的使用、保管进行定期检查，作出记录。</w:t>
      </w:r>
    </w:p>
    <w:p>
      <w:pPr>
        <w:spacing w:line="360" w:lineRule="auto"/>
        <w:ind w:firstLine="480" w:firstLineChars="200"/>
        <w:rPr>
          <w:rFonts w:ascii="宋体" w:hAnsi="宋体" w:cs="宋体"/>
          <w:bCs/>
          <w:sz w:val="24"/>
        </w:rPr>
      </w:pPr>
      <w:r>
        <w:rPr>
          <w:rFonts w:hint="eastAsia" w:ascii="宋体" w:hAnsi="宋体" w:cs="宋体"/>
          <w:bCs/>
          <w:sz w:val="24"/>
        </w:rPr>
        <w:t>C3.2 合同控制</w:t>
      </w:r>
    </w:p>
    <w:p>
      <w:pPr>
        <w:spacing w:line="360" w:lineRule="auto"/>
        <w:ind w:firstLine="480" w:firstLineChars="200"/>
        <w:rPr>
          <w:rFonts w:ascii="宋体" w:hAnsi="宋体" w:cs="宋体"/>
          <w:bCs/>
          <w:sz w:val="24"/>
        </w:rPr>
      </w:pPr>
      <w:r>
        <w:rPr>
          <w:rFonts w:hint="eastAsia" w:ascii="宋体" w:hAnsi="宋体" w:cs="宋体"/>
          <w:bCs/>
          <w:sz w:val="24"/>
        </w:rPr>
        <w:t xml:space="preserve">合同评审的范围、程序、内容如下： </w:t>
      </w:r>
    </w:p>
    <w:p>
      <w:pPr>
        <w:spacing w:line="360" w:lineRule="auto"/>
        <w:ind w:firstLine="480" w:firstLineChars="200"/>
        <w:rPr>
          <w:rFonts w:ascii="宋体" w:hAnsi="宋体" w:cs="宋体"/>
          <w:bCs/>
          <w:sz w:val="24"/>
        </w:rPr>
      </w:pPr>
      <w:r>
        <w:rPr>
          <w:rFonts w:hint="eastAsia" w:ascii="宋体" w:hAnsi="宋体" w:cs="宋体"/>
          <w:bCs/>
          <w:sz w:val="24"/>
        </w:rPr>
        <w:t xml:space="preserve">（1）合同评审的范围、内容，包括执行的法律法规、安全技术规范、及相关标准，以及技术条件等，形成评审记录并保存； </w:t>
      </w:r>
    </w:p>
    <w:p>
      <w:pPr>
        <w:spacing w:line="360" w:lineRule="auto"/>
        <w:ind w:firstLine="480" w:firstLineChars="200"/>
        <w:rPr>
          <w:rFonts w:ascii="宋体" w:hAnsi="宋体" w:cs="宋体"/>
          <w:bCs/>
          <w:sz w:val="24"/>
        </w:rPr>
      </w:pPr>
      <w:r>
        <w:rPr>
          <w:rFonts w:hint="eastAsia" w:ascii="宋体" w:hAnsi="宋体" w:cs="宋体"/>
          <w:bCs/>
          <w:sz w:val="24"/>
        </w:rPr>
        <w:t>（2）合同签订、修改、会签程序。</w:t>
      </w:r>
    </w:p>
    <w:p>
      <w:pPr>
        <w:spacing w:line="360" w:lineRule="auto"/>
        <w:ind w:firstLine="480" w:firstLineChars="200"/>
        <w:rPr>
          <w:rFonts w:ascii="宋体" w:hAnsi="宋体" w:cs="宋体"/>
          <w:bCs/>
          <w:sz w:val="24"/>
        </w:rPr>
      </w:pPr>
      <w:r>
        <w:rPr>
          <w:rFonts w:hint="eastAsia" w:ascii="宋体" w:hAnsi="宋体" w:cs="宋体"/>
          <w:bCs/>
          <w:sz w:val="24"/>
        </w:rPr>
        <w:t>C3.3 设计控制</w:t>
      </w:r>
    </w:p>
    <w:p>
      <w:pPr>
        <w:spacing w:line="360" w:lineRule="auto"/>
        <w:ind w:firstLine="480" w:firstLineChars="200"/>
        <w:rPr>
          <w:rFonts w:ascii="宋体" w:hAnsi="宋体" w:cs="宋体"/>
          <w:bCs/>
          <w:sz w:val="24"/>
        </w:rPr>
      </w:pPr>
      <w:r>
        <w:rPr>
          <w:rFonts w:hint="eastAsia" w:ascii="宋体" w:hAnsi="宋体" w:cs="宋体"/>
          <w:bCs/>
          <w:sz w:val="24"/>
        </w:rPr>
        <w:t xml:space="preserve">    抽查设计文件，其控制文件是否包括如下内容：</w:t>
      </w:r>
    </w:p>
    <w:p>
      <w:pPr>
        <w:spacing w:line="360" w:lineRule="auto"/>
        <w:ind w:firstLine="480" w:firstLineChars="200"/>
        <w:rPr>
          <w:rFonts w:ascii="宋体" w:hAnsi="宋体" w:cs="宋体"/>
          <w:bCs/>
          <w:sz w:val="24"/>
        </w:rPr>
      </w:pPr>
      <w:r>
        <w:rPr>
          <w:rFonts w:hint="eastAsia" w:ascii="宋体" w:hAnsi="宋体" w:cs="宋体"/>
          <w:bCs/>
          <w:sz w:val="24"/>
        </w:rPr>
        <w:t>（1）设计输入，形成设计输入文件（如设计任务书等），内容包括依据的法规、安全技术规范及相关标准，以及技术条件等；</w:t>
      </w:r>
    </w:p>
    <w:p>
      <w:pPr>
        <w:spacing w:line="360" w:lineRule="auto"/>
        <w:ind w:firstLine="480" w:firstLineChars="200"/>
        <w:rPr>
          <w:rFonts w:ascii="宋体" w:hAnsi="宋体" w:cs="宋体"/>
          <w:bCs/>
          <w:sz w:val="24"/>
        </w:rPr>
      </w:pPr>
      <w:r>
        <w:rPr>
          <w:rFonts w:hint="eastAsia" w:ascii="宋体" w:hAnsi="宋体" w:cs="宋体"/>
          <w:bCs/>
          <w:sz w:val="24"/>
        </w:rPr>
        <w:t>（2）设计输出，应当形成设计输出文件（包括设计说明书、设计计算书、设计图样等），设计文件应当满足法规、安全技术规范、相关标准及技术条件等；</w:t>
      </w:r>
    </w:p>
    <w:p>
      <w:pPr>
        <w:spacing w:line="360" w:lineRule="auto"/>
        <w:ind w:firstLine="480" w:firstLineChars="200"/>
        <w:rPr>
          <w:rFonts w:ascii="宋体" w:hAnsi="宋体" w:cs="宋体"/>
          <w:bCs/>
          <w:sz w:val="24"/>
        </w:rPr>
      </w:pPr>
      <w:r>
        <w:rPr>
          <w:rFonts w:hint="eastAsia" w:ascii="宋体" w:hAnsi="宋体" w:cs="宋体"/>
          <w:bCs/>
          <w:sz w:val="24"/>
        </w:rPr>
        <w:t xml:space="preserve">（3）安全技术规范及相关标准规定用试验方法进行设计验证的，制订设计验证的规定； </w:t>
      </w:r>
    </w:p>
    <w:p>
      <w:pPr>
        <w:spacing w:line="360" w:lineRule="auto"/>
        <w:ind w:firstLine="480" w:firstLineChars="200"/>
        <w:rPr>
          <w:rFonts w:ascii="宋体" w:hAnsi="宋体" w:cs="宋体"/>
          <w:bCs/>
          <w:sz w:val="24"/>
        </w:rPr>
      </w:pPr>
      <w:r>
        <w:rPr>
          <w:rFonts w:hint="eastAsia" w:ascii="宋体" w:hAnsi="宋体" w:cs="宋体"/>
          <w:bCs/>
          <w:sz w:val="24"/>
        </w:rPr>
        <w:t>（4）对设计文件进行修改的规定；</w:t>
      </w:r>
    </w:p>
    <w:p>
      <w:pPr>
        <w:spacing w:line="360" w:lineRule="auto"/>
        <w:ind w:firstLine="480" w:firstLineChars="200"/>
        <w:rPr>
          <w:rFonts w:ascii="宋体" w:hAnsi="宋体" w:cs="宋体"/>
          <w:bCs/>
          <w:sz w:val="24"/>
        </w:rPr>
      </w:pPr>
      <w:r>
        <w:rPr>
          <w:rFonts w:hint="eastAsia" w:ascii="宋体" w:hAnsi="宋体" w:cs="宋体"/>
          <w:bCs/>
          <w:sz w:val="24"/>
        </w:rPr>
        <w:t>（5）设计文件由外单位提供时，对外来设计文件进行控制的规定；</w:t>
      </w:r>
    </w:p>
    <w:p>
      <w:pPr>
        <w:spacing w:line="360" w:lineRule="auto"/>
        <w:ind w:firstLine="480" w:firstLineChars="200"/>
        <w:rPr>
          <w:rFonts w:ascii="宋体" w:hAnsi="宋体" w:cs="宋体"/>
          <w:bCs/>
          <w:sz w:val="24"/>
        </w:rPr>
      </w:pPr>
      <w:r>
        <w:rPr>
          <w:rFonts w:hint="eastAsia" w:ascii="宋体" w:hAnsi="宋体" w:cs="宋体"/>
          <w:bCs/>
          <w:sz w:val="24"/>
        </w:rPr>
        <w:t>（6）法规、安全技术规范对锅炉设计许可、设计文件鉴定、产品型式试验等有要求的，制定相关规定。</w:t>
      </w:r>
    </w:p>
    <w:p>
      <w:pPr>
        <w:spacing w:line="360" w:lineRule="auto"/>
        <w:ind w:firstLine="480" w:firstLineChars="200"/>
        <w:rPr>
          <w:rFonts w:ascii="宋体" w:hAnsi="宋体" w:cs="宋体"/>
          <w:bCs/>
          <w:sz w:val="24"/>
        </w:rPr>
      </w:pPr>
      <w:r>
        <w:rPr>
          <w:rFonts w:hint="eastAsia" w:ascii="宋体" w:hAnsi="宋体" w:cs="宋体"/>
          <w:bCs/>
          <w:sz w:val="24"/>
        </w:rPr>
        <w:t>设计文件有鉴定要求的，设计文件应当在送交设计文件鉴定机构鉴定前，由相应质量控制系统责任人员审查确认，作出记录。</w:t>
      </w:r>
    </w:p>
    <w:p>
      <w:pPr>
        <w:spacing w:line="360" w:lineRule="auto"/>
        <w:ind w:firstLine="480" w:firstLineChars="200"/>
        <w:rPr>
          <w:rFonts w:ascii="宋体" w:hAnsi="宋体" w:cs="宋体"/>
          <w:bCs/>
          <w:sz w:val="24"/>
        </w:rPr>
      </w:pPr>
      <w:r>
        <w:rPr>
          <w:rFonts w:hint="eastAsia" w:ascii="宋体" w:hAnsi="宋体" w:cs="宋体"/>
          <w:bCs/>
          <w:sz w:val="24"/>
        </w:rPr>
        <w:t>C3.4 材料与零部件控制</w:t>
      </w:r>
    </w:p>
    <w:p>
      <w:pPr>
        <w:spacing w:line="360" w:lineRule="auto"/>
        <w:ind w:firstLine="480" w:firstLineChars="200"/>
        <w:rPr>
          <w:rFonts w:ascii="宋体" w:hAnsi="宋体" w:cs="宋体"/>
          <w:bCs/>
          <w:sz w:val="24"/>
        </w:rPr>
      </w:pPr>
      <w:r>
        <w:rPr>
          <w:rFonts w:hint="eastAsia" w:ascii="宋体" w:hAnsi="宋体" w:cs="宋体"/>
          <w:bCs/>
          <w:sz w:val="24"/>
        </w:rPr>
        <w:t xml:space="preserve">抽查受压元件、承压零部件的质量控制，其控制文件是否包括如下内容： </w:t>
      </w:r>
    </w:p>
    <w:p>
      <w:pPr>
        <w:spacing w:line="360" w:lineRule="auto"/>
        <w:ind w:firstLine="480" w:firstLineChars="200"/>
        <w:rPr>
          <w:rFonts w:ascii="宋体" w:hAnsi="宋体" w:cs="宋体"/>
          <w:bCs/>
          <w:sz w:val="24"/>
        </w:rPr>
      </w:pPr>
      <w:r>
        <w:rPr>
          <w:rFonts w:hint="eastAsia" w:ascii="宋体" w:hAnsi="宋体" w:cs="宋体"/>
          <w:bCs/>
          <w:sz w:val="24"/>
        </w:rPr>
        <w:t xml:space="preserve">（1）如对受委托方进行评价、选择、重新评价，编制受委托方评价报告，建立合格受委托方名录等，明确规定对受委托方的许可资格进行确认； </w:t>
      </w:r>
    </w:p>
    <w:p>
      <w:pPr>
        <w:spacing w:line="360" w:lineRule="auto"/>
        <w:ind w:firstLine="480" w:firstLineChars="200"/>
        <w:rPr>
          <w:rFonts w:ascii="宋体" w:hAnsi="宋体" w:cs="宋体"/>
          <w:bCs/>
          <w:sz w:val="24"/>
        </w:rPr>
      </w:pPr>
      <w:r>
        <w:rPr>
          <w:rFonts w:hint="eastAsia" w:ascii="宋体" w:hAnsi="宋体" w:cs="宋体"/>
          <w:bCs/>
          <w:sz w:val="24"/>
        </w:rPr>
        <w:t xml:space="preserve">（2）材料验收和复验的规定，包括未经验收（复验）或者验收不合格的材料与零部件不得投入使用等； </w:t>
      </w:r>
    </w:p>
    <w:p>
      <w:pPr>
        <w:spacing w:line="360" w:lineRule="auto"/>
        <w:ind w:firstLine="480" w:firstLineChars="200"/>
        <w:rPr>
          <w:rFonts w:ascii="宋体" w:hAnsi="宋体" w:cs="宋体"/>
          <w:bCs/>
          <w:sz w:val="24"/>
        </w:rPr>
      </w:pPr>
      <w:r>
        <w:rPr>
          <w:rFonts w:hint="eastAsia" w:ascii="宋体" w:hAnsi="宋体" w:cs="宋体"/>
          <w:bCs/>
          <w:sz w:val="24"/>
        </w:rPr>
        <w:t xml:space="preserve">（3）材料标识（可追溯性标识）的编制、标注方法、位置和移植等； </w:t>
      </w:r>
    </w:p>
    <w:p>
      <w:pPr>
        <w:spacing w:line="360" w:lineRule="auto"/>
        <w:ind w:firstLine="480" w:firstLineChars="200"/>
        <w:rPr>
          <w:rFonts w:ascii="宋体" w:hAnsi="宋体" w:cs="宋体"/>
          <w:bCs/>
          <w:sz w:val="24"/>
        </w:rPr>
      </w:pPr>
      <w:r>
        <w:rPr>
          <w:rFonts w:hint="eastAsia" w:ascii="宋体" w:hAnsi="宋体" w:cs="宋体"/>
          <w:bCs/>
          <w:sz w:val="24"/>
        </w:rPr>
        <w:t>（4）材料与零部件的存放与保管，包括储存场地、分区堆放等；</w:t>
      </w:r>
    </w:p>
    <w:p>
      <w:pPr>
        <w:spacing w:line="360" w:lineRule="auto"/>
        <w:ind w:firstLine="480" w:firstLineChars="200"/>
        <w:rPr>
          <w:rFonts w:ascii="宋体" w:hAnsi="宋体" w:cs="宋体"/>
          <w:bCs/>
          <w:sz w:val="24"/>
        </w:rPr>
      </w:pPr>
      <w:r>
        <w:rPr>
          <w:rFonts w:hint="eastAsia" w:ascii="宋体" w:hAnsi="宋体" w:cs="宋体"/>
          <w:bCs/>
          <w:sz w:val="24"/>
        </w:rPr>
        <w:t xml:space="preserve">（5）材料与零部件的领用和使用的控制，包括质量证明文件、牌号、规格、材料炉批号、检验结果的确认、材料领用发放、切割下料、成型、加工前材料标识的移植及确认、余料和废料的处理等； </w:t>
      </w:r>
    </w:p>
    <w:p>
      <w:pPr>
        <w:spacing w:line="360" w:lineRule="auto"/>
        <w:ind w:firstLine="480" w:firstLineChars="200"/>
        <w:rPr>
          <w:rFonts w:ascii="宋体" w:hAnsi="宋体" w:cs="宋体"/>
          <w:bCs/>
          <w:sz w:val="24"/>
        </w:rPr>
      </w:pPr>
      <w:r>
        <w:rPr>
          <w:rFonts w:hint="eastAsia" w:ascii="宋体" w:hAnsi="宋体" w:cs="宋体"/>
          <w:bCs/>
          <w:sz w:val="24"/>
        </w:rPr>
        <w:t xml:space="preserve">（6）材料与零部件代用，包括代用的基本要求及代用范围、代用的审批、代用的检验试验等。 </w:t>
      </w:r>
    </w:p>
    <w:p>
      <w:pPr>
        <w:spacing w:line="360" w:lineRule="auto"/>
        <w:ind w:firstLine="480" w:firstLineChars="200"/>
        <w:rPr>
          <w:rFonts w:ascii="宋体" w:hAnsi="宋体" w:cs="宋体"/>
          <w:bCs/>
          <w:sz w:val="24"/>
        </w:rPr>
      </w:pPr>
      <w:r>
        <w:rPr>
          <w:rFonts w:hint="eastAsia" w:ascii="宋体" w:hAnsi="宋体" w:cs="宋体"/>
          <w:bCs/>
          <w:sz w:val="24"/>
        </w:rPr>
        <w:t>材料与零部件受委托方评价报告，材料与零部件检查验收报告，材料与零部件代用审批报告，由相应质量控制系统责任人员审查确认，并对保管、使用情况进行定期检查，作出记录。</w:t>
      </w:r>
    </w:p>
    <w:p>
      <w:pPr>
        <w:spacing w:line="360" w:lineRule="auto"/>
        <w:ind w:firstLine="480" w:firstLineChars="200"/>
        <w:rPr>
          <w:rFonts w:ascii="宋体" w:hAnsi="宋体" w:cs="宋体"/>
          <w:bCs/>
          <w:sz w:val="24"/>
        </w:rPr>
      </w:pPr>
      <w:r>
        <w:rPr>
          <w:rFonts w:hint="eastAsia" w:ascii="宋体" w:hAnsi="宋体" w:cs="宋体"/>
          <w:bCs/>
          <w:sz w:val="24"/>
        </w:rPr>
        <w:t>C3.5 作业（工艺）控制</w:t>
      </w:r>
    </w:p>
    <w:p>
      <w:pPr>
        <w:spacing w:line="360" w:lineRule="auto"/>
        <w:ind w:firstLine="480" w:firstLineChars="200"/>
        <w:rPr>
          <w:rFonts w:ascii="宋体" w:hAnsi="宋体" w:cs="宋体"/>
          <w:bCs/>
          <w:sz w:val="24"/>
        </w:rPr>
      </w:pPr>
      <w:r>
        <w:rPr>
          <w:rFonts w:hint="eastAsia" w:ascii="宋体" w:hAnsi="宋体" w:cs="宋体"/>
          <w:bCs/>
          <w:sz w:val="24"/>
        </w:rPr>
        <w:t xml:space="preserve">抽查锅炉制造过程作业（工艺）的控制应包括如下内容： </w:t>
      </w:r>
    </w:p>
    <w:p>
      <w:pPr>
        <w:spacing w:line="360" w:lineRule="auto"/>
        <w:ind w:firstLine="480" w:firstLineChars="200"/>
        <w:rPr>
          <w:rFonts w:ascii="宋体" w:hAnsi="宋体" w:cs="宋体"/>
          <w:bCs/>
          <w:sz w:val="24"/>
        </w:rPr>
      </w:pPr>
      <w:r>
        <w:rPr>
          <w:rFonts w:hint="eastAsia" w:ascii="宋体" w:hAnsi="宋体" w:cs="宋体"/>
          <w:bCs/>
          <w:sz w:val="24"/>
        </w:rPr>
        <w:t xml:space="preserve">（1）对工艺文件的控制要求，包括通用或专用工艺文件制定的条件和原则要求、工艺文件的编制、审批、修改、使用的要求等； </w:t>
      </w:r>
    </w:p>
    <w:p>
      <w:pPr>
        <w:spacing w:line="360" w:lineRule="auto"/>
        <w:ind w:firstLine="480" w:firstLineChars="200"/>
        <w:rPr>
          <w:rFonts w:ascii="宋体" w:hAnsi="宋体" w:cs="宋体"/>
          <w:bCs/>
          <w:sz w:val="24"/>
        </w:rPr>
      </w:pPr>
      <w:r>
        <w:rPr>
          <w:rFonts w:hint="eastAsia" w:ascii="宋体" w:hAnsi="宋体" w:cs="宋体"/>
          <w:bCs/>
          <w:sz w:val="24"/>
        </w:rPr>
        <w:t xml:space="preserve">（2）作业（工艺）执行情况检查要求，包括检查时间、人员，检查的工序，检查项目、内容等； </w:t>
      </w:r>
    </w:p>
    <w:p>
      <w:pPr>
        <w:spacing w:line="360" w:lineRule="auto"/>
        <w:ind w:firstLine="480" w:firstLineChars="200"/>
        <w:rPr>
          <w:rFonts w:ascii="宋体" w:hAnsi="宋体" w:cs="宋体"/>
          <w:bCs/>
          <w:sz w:val="24"/>
        </w:rPr>
      </w:pPr>
      <w:r>
        <w:rPr>
          <w:rFonts w:hint="eastAsia" w:ascii="宋体" w:hAnsi="宋体" w:cs="宋体"/>
          <w:bCs/>
          <w:sz w:val="24"/>
        </w:rPr>
        <w:t>（3）生产用工装、模具的管理，包括设计、制作及验收、建档、标识、保管、定期检验、维修及报废等。</w:t>
      </w:r>
    </w:p>
    <w:p>
      <w:pPr>
        <w:spacing w:line="360" w:lineRule="auto"/>
        <w:ind w:firstLine="480" w:firstLineChars="200"/>
        <w:rPr>
          <w:rFonts w:ascii="宋体" w:hAnsi="宋体" w:cs="宋体"/>
          <w:bCs/>
          <w:sz w:val="24"/>
        </w:rPr>
      </w:pPr>
      <w:r>
        <w:rPr>
          <w:rFonts w:hint="eastAsia" w:ascii="宋体" w:hAnsi="宋体" w:cs="宋体"/>
          <w:bCs/>
          <w:sz w:val="24"/>
        </w:rPr>
        <w:t xml:space="preserve">相应质量控制系统责任人员应当定期对作业（工艺）执行情况进行检查，作出记录。 </w:t>
      </w:r>
    </w:p>
    <w:p>
      <w:pPr>
        <w:spacing w:line="360" w:lineRule="auto"/>
        <w:ind w:firstLine="480" w:firstLineChars="200"/>
        <w:rPr>
          <w:rFonts w:ascii="宋体" w:hAnsi="宋体" w:cs="宋体"/>
          <w:bCs/>
          <w:sz w:val="24"/>
        </w:rPr>
      </w:pPr>
      <w:r>
        <w:rPr>
          <w:rFonts w:hint="eastAsia" w:ascii="宋体" w:hAnsi="宋体" w:cs="宋体"/>
          <w:bCs/>
          <w:sz w:val="24"/>
        </w:rPr>
        <w:t>C3.6 焊接控制</w:t>
      </w:r>
    </w:p>
    <w:p>
      <w:pPr>
        <w:spacing w:line="360" w:lineRule="auto"/>
        <w:ind w:firstLine="480" w:firstLineChars="200"/>
        <w:rPr>
          <w:rFonts w:ascii="宋体" w:hAnsi="宋体" w:cs="宋体"/>
          <w:bCs/>
          <w:sz w:val="24"/>
        </w:rPr>
      </w:pPr>
      <w:r>
        <w:rPr>
          <w:rFonts w:hint="eastAsia" w:ascii="宋体" w:hAnsi="宋体" w:cs="宋体"/>
          <w:bCs/>
          <w:sz w:val="24"/>
        </w:rPr>
        <w:t xml:space="preserve">抽查焊接人员的证件，施焊项目是否与现场施焊项目相符、焊接材料是否按规定存放和回收、焊接工艺评定及焊接工艺规程、焊接过程、焊接试板等控制规定，其焊接控制内容如下： </w:t>
      </w:r>
    </w:p>
    <w:p>
      <w:pPr>
        <w:spacing w:line="360" w:lineRule="auto"/>
        <w:ind w:firstLine="480" w:firstLineChars="200"/>
        <w:rPr>
          <w:rFonts w:ascii="宋体" w:hAnsi="宋体" w:cs="宋体"/>
          <w:bCs/>
          <w:sz w:val="24"/>
        </w:rPr>
      </w:pPr>
      <w:r>
        <w:rPr>
          <w:rFonts w:hint="eastAsia" w:ascii="宋体" w:hAnsi="宋体" w:cs="宋体"/>
          <w:bCs/>
          <w:sz w:val="24"/>
        </w:rPr>
        <w:t xml:space="preserve">（1）重点抽查焊接人员的管理规定，抽查焊接人员培训和资格考核、持证焊接人员的合格项目、持证焊接人员的标识、焊接人员档案及其考核记录等； </w:t>
      </w:r>
    </w:p>
    <w:p>
      <w:pPr>
        <w:spacing w:line="360" w:lineRule="auto"/>
        <w:ind w:firstLine="480" w:firstLineChars="200"/>
        <w:rPr>
          <w:rFonts w:ascii="宋体" w:hAnsi="宋体" w:cs="宋体"/>
          <w:bCs/>
          <w:sz w:val="24"/>
        </w:rPr>
      </w:pPr>
      <w:r>
        <w:rPr>
          <w:rFonts w:hint="eastAsia" w:ascii="宋体" w:hAnsi="宋体" w:cs="宋体"/>
          <w:bCs/>
          <w:sz w:val="24"/>
        </w:rPr>
        <w:t xml:space="preserve">（2）重点抽查焊接材料的控制规定，抽查焊接材料的采购、验收（复验）、检验、储存、烘干、发放、使用和回收记录等； </w:t>
      </w:r>
    </w:p>
    <w:p>
      <w:pPr>
        <w:spacing w:line="360" w:lineRule="auto"/>
        <w:ind w:firstLine="480" w:firstLineChars="200"/>
        <w:rPr>
          <w:rFonts w:ascii="宋体" w:hAnsi="宋体" w:cs="宋体"/>
          <w:bCs/>
          <w:sz w:val="24"/>
        </w:rPr>
      </w:pPr>
      <w:r>
        <w:rPr>
          <w:rFonts w:hint="eastAsia" w:ascii="宋体" w:hAnsi="宋体" w:cs="宋体"/>
          <w:bCs/>
          <w:sz w:val="24"/>
        </w:rPr>
        <w:t xml:space="preserve">（3）重点抽查焊接工艺评定报告（PQR）、焊接工艺规程（WPS）、焊接工艺指导书的控制规定，抽查焊接工艺评定报告、相关检验检测报告、工艺评定施焊记录、焊接工艺评定试样的保存记录等，焊接试件由制造单位熟练焊接人员使用制造单位的设备设施焊接； </w:t>
      </w:r>
    </w:p>
    <w:p>
      <w:pPr>
        <w:spacing w:line="360" w:lineRule="auto"/>
        <w:ind w:firstLine="480" w:firstLineChars="200"/>
        <w:rPr>
          <w:rFonts w:ascii="宋体" w:hAnsi="宋体" w:cs="宋体"/>
          <w:bCs/>
          <w:sz w:val="24"/>
        </w:rPr>
      </w:pPr>
      <w:r>
        <w:rPr>
          <w:rFonts w:hint="eastAsia" w:ascii="宋体" w:hAnsi="宋体" w:cs="宋体"/>
          <w:bCs/>
          <w:sz w:val="24"/>
        </w:rPr>
        <w:t xml:space="preserve">（4）重点抽查焊接工艺评定的项目覆盖制造单位锅炉制造所需要的焊接工艺，抽查其焊接工艺记录； </w:t>
      </w:r>
    </w:p>
    <w:p>
      <w:pPr>
        <w:spacing w:line="360" w:lineRule="auto"/>
        <w:ind w:firstLine="480" w:firstLineChars="200"/>
        <w:rPr>
          <w:rFonts w:ascii="宋体" w:hAnsi="宋体" w:cs="宋体"/>
          <w:bCs/>
          <w:sz w:val="24"/>
        </w:rPr>
      </w:pPr>
      <w:r>
        <w:rPr>
          <w:rFonts w:hint="eastAsia" w:ascii="宋体" w:hAnsi="宋体" w:cs="宋体"/>
          <w:bCs/>
          <w:sz w:val="24"/>
        </w:rPr>
        <w:t>（5）焊接过程控制要求，包括焊接工艺、产品施焊记录、焊接设备及焊接质量统计等；</w:t>
      </w:r>
    </w:p>
    <w:p>
      <w:pPr>
        <w:spacing w:line="360" w:lineRule="auto"/>
        <w:ind w:firstLine="480" w:firstLineChars="200"/>
        <w:rPr>
          <w:rFonts w:ascii="宋体" w:hAnsi="宋体" w:cs="宋体"/>
          <w:bCs/>
          <w:sz w:val="24"/>
        </w:rPr>
      </w:pPr>
      <w:r>
        <w:rPr>
          <w:rFonts w:hint="eastAsia" w:ascii="宋体" w:hAnsi="宋体" w:cs="宋体"/>
          <w:bCs/>
          <w:sz w:val="24"/>
        </w:rPr>
        <w:t xml:space="preserve">（6）焊缝返修（母材缺陷补焊）的控制要求，包括焊缝返修（母材缺陷补焊）工艺、焊缝返修次数和焊缝返修审批、焊缝返修（母材缺陷补焊）后重新检验检测等； </w:t>
      </w:r>
    </w:p>
    <w:p>
      <w:pPr>
        <w:spacing w:line="360" w:lineRule="auto"/>
        <w:ind w:firstLine="480" w:firstLineChars="200"/>
        <w:rPr>
          <w:rFonts w:ascii="宋体" w:hAnsi="宋体" w:cs="宋体"/>
          <w:bCs/>
          <w:sz w:val="24"/>
        </w:rPr>
      </w:pPr>
      <w:r>
        <w:rPr>
          <w:rFonts w:hint="eastAsia" w:ascii="宋体" w:hAnsi="宋体" w:cs="宋体"/>
          <w:bCs/>
          <w:sz w:val="24"/>
        </w:rPr>
        <w:t xml:space="preserve">（7）产品焊接试板的控制要求，包括焊接试板的数量、制作、焊接方式、标识、热处理、检验检测项目、试样加工、检验与试验、焊接试板和试样不合格的处理、试样的保存等。 </w:t>
      </w:r>
    </w:p>
    <w:p>
      <w:pPr>
        <w:spacing w:line="360" w:lineRule="auto"/>
        <w:ind w:firstLine="480" w:firstLineChars="200"/>
        <w:rPr>
          <w:rFonts w:ascii="宋体" w:hAnsi="宋体" w:cs="宋体"/>
          <w:bCs/>
          <w:sz w:val="24"/>
        </w:rPr>
      </w:pPr>
      <w:r>
        <w:rPr>
          <w:rFonts w:hint="eastAsia" w:ascii="宋体" w:hAnsi="宋体" w:cs="宋体"/>
          <w:bCs/>
          <w:sz w:val="24"/>
        </w:rPr>
        <w:t>相应质量控制系统责任人员应当对执行情况进行检查，作出记录。</w:t>
      </w:r>
    </w:p>
    <w:p>
      <w:pPr>
        <w:spacing w:line="360" w:lineRule="auto"/>
        <w:ind w:firstLine="480" w:firstLineChars="200"/>
        <w:rPr>
          <w:rFonts w:ascii="宋体" w:hAnsi="宋体" w:cs="宋体"/>
          <w:bCs/>
          <w:sz w:val="24"/>
        </w:rPr>
      </w:pPr>
      <w:r>
        <w:rPr>
          <w:rFonts w:hint="eastAsia" w:ascii="宋体" w:hAnsi="宋体" w:cs="宋体"/>
          <w:bCs/>
          <w:sz w:val="24"/>
        </w:rPr>
        <w:t>C3.7 热处理控制</w:t>
      </w:r>
    </w:p>
    <w:p>
      <w:pPr>
        <w:spacing w:line="360" w:lineRule="auto"/>
        <w:ind w:firstLine="480" w:firstLineChars="200"/>
        <w:rPr>
          <w:rFonts w:ascii="宋体" w:hAnsi="宋体" w:cs="宋体"/>
          <w:bCs/>
          <w:sz w:val="24"/>
        </w:rPr>
      </w:pPr>
      <w:r>
        <w:rPr>
          <w:rFonts w:hint="eastAsia" w:ascii="宋体" w:hAnsi="宋体" w:cs="宋体"/>
          <w:bCs/>
          <w:sz w:val="24"/>
        </w:rPr>
        <w:t xml:space="preserve">抽查锅炉制造热处理控制应包括如下内容： </w:t>
      </w:r>
    </w:p>
    <w:p>
      <w:pPr>
        <w:spacing w:line="360" w:lineRule="auto"/>
        <w:ind w:firstLine="480" w:firstLineChars="200"/>
        <w:rPr>
          <w:rFonts w:ascii="宋体" w:hAnsi="宋体" w:cs="宋体"/>
          <w:bCs/>
          <w:sz w:val="24"/>
        </w:rPr>
      </w:pPr>
      <w:r>
        <w:rPr>
          <w:rFonts w:hint="eastAsia" w:ascii="宋体" w:hAnsi="宋体" w:cs="宋体"/>
          <w:bCs/>
          <w:sz w:val="24"/>
        </w:rPr>
        <w:t xml:space="preserve">（1）热处理工艺基本要求； </w:t>
      </w:r>
    </w:p>
    <w:p>
      <w:pPr>
        <w:spacing w:line="360" w:lineRule="auto"/>
        <w:ind w:firstLine="480" w:firstLineChars="200"/>
        <w:rPr>
          <w:rFonts w:ascii="宋体" w:hAnsi="宋体" w:cs="宋体"/>
          <w:bCs/>
          <w:sz w:val="24"/>
        </w:rPr>
      </w:pPr>
      <w:r>
        <w:rPr>
          <w:rFonts w:hint="eastAsia" w:ascii="宋体" w:hAnsi="宋体" w:cs="宋体"/>
          <w:bCs/>
          <w:sz w:val="24"/>
        </w:rPr>
        <w:t xml:space="preserve">（2）热处理控制要求，包括热处理设备、测温装置、温度自动记录装置、热处理记录和报告的填写、审核确认等； </w:t>
      </w:r>
    </w:p>
    <w:p>
      <w:pPr>
        <w:spacing w:line="360" w:lineRule="auto"/>
        <w:ind w:firstLine="480" w:firstLineChars="200"/>
        <w:rPr>
          <w:rFonts w:ascii="宋体" w:hAnsi="宋体" w:cs="宋体"/>
          <w:bCs/>
          <w:sz w:val="24"/>
        </w:rPr>
      </w:pPr>
      <w:r>
        <w:rPr>
          <w:rFonts w:hint="eastAsia" w:ascii="宋体" w:hAnsi="宋体" w:cs="宋体"/>
          <w:bCs/>
          <w:sz w:val="24"/>
        </w:rPr>
        <w:t>（3）热处理外委的，对受委托单位热处理质量控制规定，包括对受委托单位的确定，热处理工艺控制，受委托单位热处理报告、记录和报告的审查确认等。</w:t>
      </w:r>
    </w:p>
    <w:p>
      <w:pPr>
        <w:spacing w:line="360" w:lineRule="auto"/>
        <w:ind w:firstLine="480" w:firstLineChars="200"/>
        <w:rPr>
          <w:rFonts w:ascii="宋体" w:hAnsi="宋体" w:cs="宋体"/>
          <w:bCs/>
          <w:sz w:val="24"/>
        </w:rPr>
      </w:pPr>
      <w:r>
        <w:rPr>
          <w:rFonts w:hint="eastAsia" w:ascii="宋体" w:hAnsi="宋体" w:cs="宋体"/>
          <w:bCs/>
          <w:sz w:val="24"/>
        </w:rPr>
        <w:t xml:space="preserve">热处理工艺、热处理记录和报告，受委托方的评价，由相应质量控制系统责任人员审查确认，作出记录。 </w:t>
      </w:r>
    </w:p>
    <w:p>
      <w:pPr>
        <w:spacing w:line="360" w:lineRule="auto"/>
        <w:ind w:firstLine="480" w:firstLineChars="200"/>
        <w:rPr>
          <w:rFonts w:ascii="宋体" w:hAnsi="宋体" w:cs="宋体"/>
          <w:bCs/>
          <w:sz w:val="24"/>
        </w:rPr>
      </w:pPr>
      <w:r>
        <w:rPr>
          <w:rFonts w:hint="eastAsia" w:ascii="宋体" w:hAnsi="宋体" w:cs="宋体"/>
          <w:bCs/>
          <w:sz w:val="24"/>
        </w:rPr>
        <w:t>C3.8 无损检测控制</w:t>
      </w:r>
    </w:p>
    <w:p>
      <w:pPr>
        <w:spacing w:line="360" w:lineRule="auto"/>
        <w:ind w:firstLine="480" w:firstLineChars="200"/>
        <w:rPr>
          <w:rFonts w:ascii="宋体" w:hAnsi="宋体" w:cs="宋体"/>
          <w:bCs/>
          <w:sz w:val="24"/>
        </w:rPr>
      </w:pPr>
      <w:r>
        <w:rPr>
          <w:rFonts w:hint="eastAsia" w:ascii="宋体" w:hAnsi="宋体" w:cs="宋体"/>
          <w:bCs/>
          <w:sz w:val="24"/>
        </w:rPr>
        <w:t xml:space="preserve">重点抽查锅炉制造无损检测控制应包括如下内容： </w:t>
      </w:r>
    </w:p>
    <w:p>
      <w:pPr>
        <w:spacing w:line="360" w:lineRule="auto"/>
        <w:ind w:firstLine="480" w:firstLineChars="200"/>
        <w:rPr>
          <w:rFonts w:ascii="宋体" w:hAnsi="宋体" w:cs="宋体"/>
          <w:bCs/>
          <w:sz w:val="24"/>
        </w:rPr>
      </w:pPr>
      <w:r>
        <w:rPr>
          <w:rFonts w:hint="eastAsia" w:ascii="宋体" w:hAnsi="宋体" w:cs="宋体"/>
          <w:bCs/>
          <w:sz w:val="24"/>
        </w:rPr>
        <w:t>（1）无损检测人员管理，包括无损检测人员的培训、考核，资格证书，持证项目的管理，无损检测人员的职责、权限记录等；</w:t>
      </w:r>
    </w:p>
    <w:p>
      <w:pPr>
        <w:spacing w:line="360" w:lineRule="auto"/>
        <w:ind w:firstLine="480" w:firstLineChars="200"/>
        <w:rPr>
          <w:rFonts w:ascii="宋体" w:hAnsi="宋体" w:cs="宋体"/>
          <w:bCs/>
          <w:sz w:val="24"/>
        </w:rPr>
      </w:pPr>
      <w:r>
        <w:rPr>
          <w:rFonts w:hint="eastAsia" w:ascii="宋体" w:hAnsi="宋体" w:cs="宋体"/>
          <w:bCs/>
          <w:sz w:val="24"/>
        </w:rPr>
        <w:t xml:space="preserve">（2）无损检测通用工艺、专用工艺基本要求，包括无损检测方法、依据的安全技术规范、标准记录等； </w:t>
      </w:r>
    </w:p>
    <w:p>
      <w:pPr>
        <w:spacing w:line="360" w:lineRule="auto"/>
        <w:ind w:firstLine="480" w:firstLineChars="200"/>
        <w:rPr>
          <w:rFonts w:ascii="宋体" w:hAnsi="宋体" w:cs="宋体"/>
          <w:bCs/>
          <w:sz w:val="24"/>
        </w:rPr>
      </w:pPr>
      <w:r>
        <w:rPr>
          <w:rFonts w:hint="eastAsia" w:ascii="宋体" w:hAnsi="宋体" w:cs="宋体"/>
          <w:bCs/>
          <w:sz w:val="24"/>
        </w:rPr>
        <w:t xml:space="preserve">（3）无损检测过程控制，包括无损检测方法、数量、比例，不合格部位的检测、扩探比例，评定标准等； </w:t>
      </w:r>
    </w:p>
    <w:p>
      <w:pPr>
        <w:spacing w:line="360" w:lineRule="auto"/>
        <w:ind w:firstLine="480" w:firstLineChars="200"/>
        <w:rPr>
          <w:rFonts w:ascii="宋体" w:hAnsi="宋体" w:cs="宋体"/>
          <w:bCs/>
          <w:sz w:val="24"/>
        </w:rPr>
      </w:pPr>
      <w:r>
        <w:rPr>
          <w:rFonts w:hint="eastAsia" w:ascii="宋体" w:hAnsi="宋体" w:cs="宋体"/>
          <w:bCs/>
          <w:sz w:val="24"/>
        </w:rPr>
        <w:t xml:space="preserve">（4）重点抽查无损检测记录、报告的控制要求，抽查无损检测记录、报告的填写、审核等人员的签字确认，复评、发放，以及底片电子资料等的保管； </w:t>
      </w:r>
    </w:p>
    <w:p>
      <w:pPr>
        <w:spacing w:line="360" w:lineRule="auto"/>
        <w:ind w:firstLine="480" w:firstLineChars="200"/>
        <w:rPr>
          <w:rFonts w:ascii="宋体" w:hAnsi="宋体" w:cs="宋体"/>
          <w:bCs/>
          <w:sz w:val="24"/>
        </w:rPr>
      </w:pPr>
      <w:r>
        <w:rPr>
          <w:rFonts w:hint="eastAsia" w:ascii="宋体" w:hAnsi="宋体" w:cs="宋体"/>
          <w:bCs/>
          <w:sz w:val="24"/>
        </w:rPr>
        <w:t>（5）无损检测仪器及试块的控制要求；</w:t>
      </w:r>
    </w:p>
    <w:p>
      <w:pPr>
        <w:spacing w:line="360" w:lineRule="auto"/>
        <w:ind w:firstLine="480" w:firstLineChars="200"/>
        <w:rPr>
          <w:rFonts w:ascii="宋体" w:hAnsi="宋体" w:cs="宋体"/>
          <w:bCs/>
          <w:sz w:val="24"/>
        </w:rPr>
      </w:pPr>
      <w:r>
        <w:rPr>
          <w:rFonts w:hint="eastAsia" w:ascii="宋体" w:hAnsi="宋体" w:cs="宋体"/>
          <w:bCs/>
          <w:sz w:val="24"/>
        </w:rPr>
        <w:t>（6）无损检测工作外委时，对受委托单位无损检测质量控制，包括对受委托单位的确定对受委托单位的无损检测工艺、无损检测记录和报告的审查与确认等。</w:t>
      </w:r>
    </w:p>
    <w:p>
      <w:pPr>
        <w:spacing w:line="360" w:lineRule="auto"/>
        <w:ind w:firstLine="480" w:firstLineChars="200"/>
        <w:rPr>
          <w:rFonts w:ascii="宋体" w:hAnsi="宋体" w:cs="宋体"/>
          <w:bCs/>
          <w:sz w:val="24"/>
        </w:rPr>
      </w:pPr>
      <w:r>
        <w:rPr>
          <w:rFonts w:hint="eastAsia" w:ascii="宋体" w:hAnsi="宋体" w:cs="宋体"/>
          <w:bCs/>
          <w:sz w:val="24"/>
        </w:rPr>
        <w:t xml:space="preserve"> 无损检测工艺、无损检测报告、无损检测工作见证（底片、电子资料等）、受委托单位的评价，人员的考核持证情况，由相应质量控制责任人员审查确认，作出记录。</w:t>
      </w:r>
    </w:p>
    <w:p>
      <w:pPr>
        <w:spacing w:line="360" w:lineRule="auto"/>
        <w:ind w:firstLine="480" w:firstLineChars="200"/>
        <w:rPr>
          <w:rFonts w:ascii="宋体" w:hAnsi="宋体" w:cs="宋体"/>
          <w:bCs/>
          <w:sz w:val="24"/>
        </w:rPr>
      </w:pPr>
      <w:r>
        <w:rPr>
          <w:rFonts w:hint="eastAsia" w:ascii="宋体" w:hAnsi="宋体" w:cs="宋体"/>
          <w:bCs/>
          <w:sz w:val="24"/>
        </w:rPr>
        <w:t>C3.9 理化检验控制</w:t>
      </w:r>
    </w:p>
    <w:p>
      <w:pPr>
        <w:spacing w:line="360" w:lineRule="auto"/>
        <w:ind w:firstLine="480" w:firstLineChars="200"/>
        <w:rPr>
          <w:rFonts w:ascii="宋体" w:hAnsi="宋体" w:cs="宋体"/>
          <w:bCs/>
          <w:sz w:val="24"/>
        </w:rPr>
      </w:pPr>
      <w:r>
        <w:rPr>
          <w:rFonts w:hint="eastAsia" w:ascii="宋体" w:hAnsi="宋体" w:cs="宋体"/>
          <w:bCs/>
          <w:sz w:val="24"/>
        </w:rPr>
        <w:t>抽查理化检验控制应包括如下内容：</w:t>
      </w:r>
    </w:p>
    <w:p>
      <w:pPr>
        <w:spacing w:line="360" w:lineRule="auto"/>
        <w:ind w:firstLine="480" w:firstLineChars="200"/>
        <w:rPr>
          <w:rFonts w:ascii="宋体" w:hAnsi="宋体" w:cs="宋体"/>
          <w:bCs/>
          <w:sz w:val="24"/>
        </w:rPr>
      </w:pPr>
      <w:r>
        <w:rPr>
          <w:rFonts w:hint="eastAsia" w:ascii="宋体" w:hAnsi="宋体" w:cs="宋体"/>
          <w:bCs/>
          <w:sz w:val="24"/>
        </w:rPr>
        <w:t>（1）理化检验人员培训上岗的规定；</w:t>
      </w:r>
    </w:p>
    <w:p>
      <w:pPr>
        <w:spacing w:line="360" w:lineRule="auto"/>
        <w:ind w:firstLine="480" w:firstLineChars="200"/>
        <w:rPr>
          <w:rFonts w:ascii="宋体" w:hAnsi="宋体" w:cs="宋体"/>
          <w:bCs/>
          <w:sz w:val="24"/>
        </w:rPr>
      </w:pPr>
      <w:r>
        <w:rPr>
          <w:rFonts w:hint="eastAsia" w:ascii="宋体" w:hAnsi="宋体" w:cs="宋体"/>
          <w:bCs/>
          <w:sz w:val="24"/>
        </w:rPr>
        <w:t>（2）理化检验过程控制，包括理化检验方法确定和操作过程的控制等；</w:t>
      </w:r>
    </w:p>
    <w:p>
      <w:pPr>
        <w:spacing w:line="360" w:lineRule="auto"/>
        <w:ind w:firstLine="480" w:firstLineChars="200"/>
        <w:rPr>
          <w:rFonts w:ascii="宋体" w:hAnsi="宋体" w:cs="宋体"/>
          <w:bCs/>
          <w:sz w:val="24"/>
        </w:rPr>
      </w:pPr>
      <w:r>
        <w:rPr>
          <w:rFonts w:hint="eastAsia" w:ascii="宋体" w:hAnsi="宋体" w:cs="宋体"/>
          <w:bCs/>
          <w:sz w:val="24"/>
        </w:rPr>
        <w:t xml:space="preserve">（3）理化检验记录、报告的填写、审核、结论确认、发放、复验以及试样、试剂、标样的管理等； </w:t>
      </w:r>
    </w:p>
    <w:p>
      <w:pPr>
        <w:spacing w:line="360" w:lineRule="auto"/>
        <w:ind w:firstLine="480" w:firstLineChars="200"/>
        <w:rPr>
          <w:rFonts w:ascii="宋体" w:hAnsi="宋体" w:cs="宋体"/>
          <w:bCs/>
          <w:sz w:val="24"/>
        </w:rPr>
      </w:pPr>
      <w:r>
        <w:rPr>
          <w:rFonts w:hint="eastAsia" w:ascii="宋体" w:hAnsi="宋体" w:cs="宋体"/>
          <w:bCs/>
          <w:sz w:val="24"/>
        </w:rPr>
        <w:t xml:space="preserve">（4）理化检验的试样加工及试样检测； </w:t>
      </w:r>
    </w:p>
    <w:p>
      <w:pPr>
        <w:spacing w:line="360" w:lineRule="auto"/>
        <w:ind w:firstLine="480" w:firstLineChars="200"/>
        <w:rPr>
          <w:rFonts w:ascii="宋体" w:hAnsi="宋体" w:cs="宋体"/>
          <w:bCs/>
          <w:sz w:val="24"/>
        </w:rPr>
      </w:pPr>
      <w:r>
        <w:rPr>
          <w:rFonts w:hint="eastAsia" w:ascii="宋体" w:hAnsi="宋体" w:cs="宋体"/>
          <w:bCs/>
          <w:sz w:val="24"/>
        </w:rPr>
        <w:t xml:space="preserve">（5）理化检验外委时，对受委托单位理化检验质量，包括对受委托单位的确定，对受委托单位理化检验工艺、理化检验记录和报告的审查确认。 </w:t>
      </w:r>
    </w:p>
    <w:p>
      <w:pPr>
        <w:spacing w:line="360" w:lineRule="auto"/>
        <w:ind w:firstLine="480" w:firstLineChars="200"/>
        <w:rPr>
          <w:rFonts w:ascii="宋体" w:hAnsi="宋体" w:cs="宋体"/>
          <w:bCs/>
          <w:sz w:val="24"/>
        </w:rPr>
      </w:pPr>
      <w:r>
        <w:rPr>
          <w:rFonts w:hint="eastAsia" w:ascii="宋体" w:hAnsi="宋体" w:cs="宋体"/>
          <w:bCs/>
          <w:sz w:val="24"/>
        </w:rPr>
        <w:t>对受委托单位的评价、理化检验报告，由相应质量控制系统责任人员审查确认，作出记录。</w:t>
      </w:r>
    </w:p>
    <w:p>
      <w:pPr>
        <w:spacing w:line="360" w:lineRule="auto"/>
        <w:ind w:firstLine="480" w:firstLineChars="200"/>
        <w:rPr>
          <w:rFonts w:ascii="宋体" w:hAnsi="宋体" w:cs="宋体"/>
          <w:bCs/>
          <w:sz w:val="24"/>
        </w:rPr>
      </w:pPr>
      <w:r>
        <w:rPr>
          <w:rFonts w:hint="eastAsia" w:ascii="宋体" w:hAnsi="宋体" w:cs="宋体"/>
          <w:bCs/>
          <w:sz w:val="24"/>
        </w:rPr>
        <w:t>C3.10 检验与试验控制</w:t>
      </w:r>
    </w:p>
    <w:p>
      <w:pPr>
        <w:spacing w:line="360" w:lineRule="auto"/>
        <w:ind w:firstLine="480" w:firstLineChars="200"/>
        <w:rPr>
          <w:rFonts w:ascii="宋体" w:hAnsi="宋体" w:cs="宋体"/>
          <w:bCs/>
          <w:sz w:val="24"/>
        </w:rPr>
      </w:pPr>
      <w:r>
        <w:rPr>
          <w:rFonts w:hint="eastAsia" w:ascii="宋体" w:hAnsi="宋体" w:cs="宋体"/>
          <w:bCs/>
          <w:sz w:val="24"/>
        </w:rPr>
        <w:t>抽查检验与试验控制应包括如下内容：</w:t>
      </w:r>
    </w:p>
    <w:p>
      <w:pPr>
        <w:spacing w:line="360" w:lineRule="auto"/>
        <w:ind w:firstLine="480" w:firstLineChars="200"/>
        <w:rPr>
          <w:rFonts w:ascii="宋体" w:hAnsi="宋体" w:cs="宋体"/>
          <w:bCs/>
          <w:sz w:val="24"/>
        </w:rPr>
      </w:pPr>
      <w:r>
        <w:rPr>
          <w:rFonts w:hint="eastAsia" w:ascii="宋体" w:hAnsi="宋体" w:cs="宋体"/>
          <w:bCs/>
          <w:sz w:val="24"/>
        </w:rPr>
        <w:t xml:space="preserve">（1）检验与试验工艺文件基本要求，包括依据、内容、方法等； </w:t>
      </w:r>
    </w:p>
    <w:p>
      <w:pPr>
        <w:spacing w:line="360" w:lineRule="auto"/>
        <w:ind w:firstLine="480" w:firstLineChars="200"/>
        <w:rPr>
          <w:rFonts w:ascii="宋体" w:hAnsi="宋体" w:cs="宋体"/>
          <w:bCs/>
          <w:sz w:val="24"/>
        </w:rPr>
      </w:pPr>
      <w:r>
        <w:rPr>
          <w:rFonts w:hint="eastAsia" w:ascii="宋体" w:hAnsi="宋体" w:cs="宋体"/>
          <w:bCs/>
          <w:sz w:val="24"/>
        </w:rPr>
        <w:t>（2）检验与试验条件控制，包括检验与试验场地、环境、温度、介质、设备（装置）、工装、试验载荷、安全防护、试验监督和确认；</w:t>
      </w:r>
    </w:p>
    <w:p>
      <w:pPr>
        <w:spacing w:line="360" w:lineRule="auto"/>
        <w:ind w:firstLine="480" w:firstLineChars="200"/>
        <w:rPr>
          <w:rFonts w:ascii="宋体" w:hAnsi="宋体" w:cs="宋体"/>
          <w:bCs/>
          <w:sz w:val="24"/>
        </w:rPr>
      </w:pPr>
      <w:r>
        <w:rPr>
          <w:rFonts w:hint="eastAsia" w:ascii="宋体" w:hAnsi="宋体" w:cs="宋体"/>
          <w:bCs/>
          <w:sz w:val="24"/>
        </w:rPr>
        <w:t>（3）过程检验与试验控制，包括前道工序未完成所要求的检验与试验或必须的检验与试验报告未签发和确认前，不得转入下道工序或放行的规定；</w:t>
      </w:r>
    </w:p>
    <w:p>
      <w:pPr>
        <w:spacing w:line="360" w:lineRule="auto"/>
        <w:ind w:firstLine="480" w:firstLineChars="200"/>
        <w:rPr>
          <w:rFonts w:ascii="宋体" w:hAnsi="宋体" w:cs="宋体"/>
          <w:bCs/>
          <w:sz w:val="24"/>
        </w:rPr>
      </w:pPr>
      <w:r>
        <w:rPr>
          <w:rFonts w:hint="eastAsia" w:ascii="宋体" w:hAnsi="宋体" w:cs="宋体"/>
          <w:bCs/>
          <w:sz w:val="24"/>
        </w:rPr>
        <w:t xml:space="preserve">（4）最终检验与试验的控制，包括最终检验与试验前所有的过程检验与试验均已完成，且检验与试验结论满足安全技术规范及相关标准的规定； </w:t>
      </w:r>
    </w:p>
    <w:p>
      <w:pPr>
        <w:spacing w:line="360" w:lineRule="auto"/>
        <w:ind w:firstLine="480" w:firstLineChars="200"/>
        <w:rPr>
          <w:rFonts w:ascii="宋体" w:hAnsi="宋体" w:cs="宋体"/>
          <w:bCs/>
          <w:sz w:val="24"/>
        </w:rPr>
      </w:pPr>
      <w:r>
        <w:rPr>
          <w:rFonts w:hint="eastAsia" w:ascii="宋体" w:hAnsi="宋体" w:cs="宋体"/>
          <w:bCs/>
          <w:sz w:val="24"/>
        </w:rPr>
        <w:t xml:space="preserve">（5）检验与试验状态，如合格、不合格、待检的标识控制； </w:t>
      </w:r>
    </w:p>
    <w:p>
      <w:pPr>
        <w:spacing w:line="360" w:lineRule="auto"/>
        <w:ind w:firstLine="480" w:firstLineChars="200"/>
        <w:rPr>
          <w:rFonts w:ascii="宋体" w:hAnsi="宋体" w:cs="宋体"/>
          <w:bCs/>
          <w:sz w:val="24"/>
        </w:rPr>
      </w:pPr>
      <w:r>
        <w:rPr>
          <w:rFonts w:hint="eastAsia" w:ascii="宋体" w:hAnsi="宋体" w:cs="宋体"/>
          <w:bCs/>
          <w:sz w:val="24"/>
        </w:rPr>
        <w:t xml:space="preserve">（6）安全技术规范及相关标准有型式试验或其他特殊试验规定时，应当编制相应的试验规定，包括型式试验项目及其覆盖产品范围、型式试验机构、型式试验报告、型式试验结论及其他特殊试验条件、方法、工艺、记录、报告及试验结论的要求等； </w:t>
      </w:r>
    </w:p>
    <w:p>
      <w:pPr>
        <w:spacing w:line="360" w:lineRule="auto"/>
        <w:ind w:firstLine="480" w:firstLineChars="200"/>
        <w:rPr>
          <w:rFonts w:ascii="宋体" w:hAnsi="宋体" w:cs="宋体"/>
          <w:bCs/>
          <w:sz w:val="24"/>
        </w:rPr>
      </w:pPr>
      <w:r>
        <w:rPr>
          <w:rFonts w:hint="eastAsia" w:ascii="宋体" w:hAnsi="宋体" w:cs="宋体"/>
          <w:bCs/>
          <w:sz w:val="24"/>
        </w:rPr>
        <w:t>（7）检验与试验记录和报告控制，包括检验与试验的记录、报告的填写、审核和确认等，检验试验记录、报告、样机（试样、试件）的收集、归档以及保管的特殊要求等。</w:t>
      </w:r>
    </w:p>
    <w:p>
      <w:pPr>
        <w:spacing w:line="360" w:lineRule="auto"/>
        <w:ind w:firstLine="480" w:firstLineChars="200"/>
        <w:rPr>
          <w:rFonts w:ascii="宋体" w:hAnsi="宋体" w:cs="宋体"/>
          <w:bCs/>
          <w:sz w:val="24"/>
        </w:rPr>
      </w:pPr>
      <w:r>
        <w:rPr>
          <w:rFonts w:hint="eastAsia" w:ascii="宋体" w:hAnsi="宋体" w:cs="宋体"/>
          <w:bCs/>
          <w:sz w:val="24"/>
        </w:rPr>
        <w:t xml:space="preserve">检验与试验工艺，最终检验与试验报告，由相应质量控制系统责任人员审查确认，作出记录。 </w:t>
      </w:r>
    </w:p>
    <w:p>
      <w:pPr>
        <w:spacing w:line="360" w:lineRule="auto"/>
        <w:ind w:firstLine="480" w:firstLineChars="200"/>
        <w:rPr>
          <w:rFonts w:ascii="宋体" w:hAnsi="宋体" w:cs="宋体"/>
          <w:bCs/>
          <w:sz w:val="24"/>
        </w:rPr>
      </w:pPr>
      <w:r>
        <w:rPr>
          <w:rFonts w:hint="eastAsia" w:ascii="宋体" w:hAnsi="宋体" w:cs="宋体"/>
          <w:bCs/>
          <w:sz w:val="24"/>
        </w:rPr>
        <w:t>C3.11 生产设备和检验与试验装置控制</w:t>
      </w:r>
    </w:p>
    <w:p>
      <w:pPr>
        <w:spacing w:line="360" w:lineRule="auto"/>
        <w:ind w:firstLine="480" w:firstLineChars="200"/>
        <w:rPr>
          <w:rFonts w:ascii="宋体" w:hAnsi="宋体" w:cs="宋体"/>
          <w:bCs/>
          <w:sz w:val="24"/>
        </w:rPr>
      </w:pPr>
      <w:r>
        <w:rPr>
          <w:rFonts w:hint="eastAsia" w:ascii="宋体" w:hAnsi="宋体" w:cs="宋体"/>
          <w:bCs/>
          <w:sz w:val="24"/>
        </w:rPr>
        <w:t>抽查生产设备和检验与试验装置控制应包括如下内容：</w:t>
      </w:r>
    </w:p>
    <w:p>
      <w:pPr>
        <w:spacing w:line="360" w:lineRule="auto"/>
        <w:ind w:firstLine="480" w:firstLineChars="200"/>
        <w:rPr>
          <w:rFonts w:ascii="宋体" w:hAnsi="宋体" w:cs="宋体"/>
          <w:bCs/>
          <w:sz w:val="24"/>
        </w:rPr>
      </w:pPr>
      <w:r>
        <w:rPr>
          <w:rFonts w:hint="eastAsia" w:ascii="宋体" w:hAnsi="宋体" w:cs="宋体"/>
          <w:bCs/>
          <w:sz w:val="24"/>
        </w:rPr>
        <w:t xml:space="preserve">（1）生产设备和检验与试验装置控制，包括采购，验收，操作，维护，使用环境，检定校准，检修、封存以及报废记录等； </w:t>
      </w:r>
    </w:p>
    <w:p>
      <w:pPr>
        <w:spacing w:line="360" w:lineRule="auto"/>
        <w:ind w:firstLine="480" w:firstLineChars="200"/>
        <w:rPr>
          <w:rFonts w:ascii="宋体" w:hAnsi="宋体" w:cs="宋体"/>
          <w:bCs/>
          <w:sz w:val="24"/>
        </w:rPr>
      </w:pPr>
      <w:r>
        <w:rPr>
          <w:rFonts w:hint="eastAsia" w:ascii="宋体" w:hAnsi="宋体" w:cs="宋体"/>
          <w:bCs/>
          <w:sz w:val="24"/>
        </w:rPr>
        <w:t xml:space="preserve">（2）生产设备和检验与试验装置档案管理，包括建立生产设备和检验与试验装置台帐和档案，质量证明文件、使用说明书、使用记录、维修保养记录以及校准检定计划、校准检定记录、报告等档案资料； </w:t>
      </w:r>
    </w:p>
    <w:p>
      <w:pPr>
        <w:spacing w:line="360" w:lineRule="auto"/>
        <w:ind w:firstLine="480" w:firstLineChars="200"/>
        <w:rPr>
          <w:rFonts w:ascii="宋体" w:hAnsi="宋体" w:cs="宋体"/>
          <w:bCs/>
          <w:sz w:val="24"/>
        </w:rPr>
      </w:pPr>
      <w:r>
        <w:rPr>
          <w:rFonts w:hint="eastAsia" w:ascii="宋体" w:hAnsi="宋体" w:cs="宋体"/>
          <w:bCs/>
          <w:sz w:val="24"/>
        </w:rPr>
        <w:t>（3）生产设备和检验与试验装置状态控制，包括生产设备使用状态标识、检验与试验装置检定校验标识，法定要求检验的生产设备的检验报告等。</w:t>
      </w:r>
    </w:p>
    <w:p>
      <w:pPr>
        <w:spacing w:line="360" w:lineRule="auto"/>
        <w:ind w:firstLine="480" w:firstLineChars="200"/>
        <w:rPr>
          <w:rFonts w:ascii="宋体" w:hAnsi="宋体" w:cs="宋体"/>
          <w:bCs/>
          <w:sz w:val="24"/>
        </w:rPr>
      </w:pPr>
      <w:r>
        <w:rPr>
          <w:rFonts w:hint="eastAsia" w:ascii="宋体" w:hAnsi="宋体" w:cs="宋体"/>
          <w:bCs/>
          <w:sz w:val="24"/>
        </w:rPr>
        <w:t>C3.12 不合格品（项）控制</w:t>
      </w:r>
    </w:p>
    <w:p>
      <w:pPr>
        <w:spacing w:line="360" w:lineRule="auto"/>
        <w:ind w:firstLine="480" w:firstLineChars="200"/>
        <w:rPr>
          <w:rFonts w:ascii="宋体" w:hAnsi="宋体" w:cs="宋体"/>
          <w:bCs/>
          <w:sz w:val="24"/>
        </w:rPr>
      </w:pPr>
      <w:r>
        <w:rPr>
          <w:rFonts w:hint="eastAsia" w:ascii="宋体" w:hAnsi="宋体" w:cs="宋体"/>
          <w:bCs/>
          <w:sz w:val="24"/>
        </w:rPr>
        <w:t>抽查不合格品（项）控制是否包括如下内容：</w:t>
      </w:r>
    </w:p>
    <w:p>
      <w:pPr>
        <w:spacing w:line="360" w:lineRule="auto"/>
        <w:ind w:firstLine="480" w:firstLineChars="200"/>
        <w:rPr>
          <w:rFonts w:ascii="宋体" w:hAnsi="宋体" w:cs="宋体"/>
          <w:bCs/>
          <w:sz w:val="24"/>
        </w:rPr>
      </w:pPr>
      <w:r>
        <w:rPr>
          <w:rFonts w:hint="eastAsia" w:ascii="宋体" w:hAnsi="宋体" w:cs="宋体"/>
          <w:bCs/>
          <w:sz w:val="24"/>
        </w:rPr>
        <w:t xml:space="preserve">（1）不合格品（项）的记录、标识、存放、隔离等； </w:t>
      </w:r>
    </w:p>
    <w:p>
      <w:pPr>
        <w:spacing w:line="360" w:lineRule="auto"/>
        <w:ind w:firstLine="480" w:firstLineChars="200"/>
        <w:rPr>
          <w:rFonts w:ascii="宋体" w:hAnsi="宋体" w:cs="宋体"/>
          <w:bCs/>
          <w:sz w:val="24"/>
        </w:rPr>
      </w:pPr>
      <w:r>
        <w:rPr>
          <w:rFonts w:hint="eastAsia" w:ascii="宋体" w:hAnsi="宋体" w:cs="宋体"/>
          <w:bCs/>
          <w:sz w:val="24"/>
        </w:rPr>
        <w:t xml:space="preserve">（2）不合格品（项）原因分析、处置及处置后检验等； </w:t>
      </w:r>
    </w:p>
    <w:p>
      <w:pPr>
        <w:spacing w:line="360" w:lineRule="auto"/>
        <w:ind w:firstLine="480" w:firstLineChars="200"/>
        <w:rPr>
          <w:rFonts w:ascii="宋体" w:hAnsi="宋体" w:cs="宋体"/>
          <w:bCs/>
          <w:sz w:val="24"/>
        </w:rPr>
      </w:pPr>
      <w:r>
        <w:rPr>
          <w:rFonts w:hint="eastAsia" w:ascii="宋体" w:hAnsi="宋体" w:cs="宋体"/>
          <w:bCs/>
          <w:sz w:val="24"/>
        </w:rPr>
        <w:t xml:space="preserve">（3）不合格品（项）所采取纠正或者预防措施的制定、审核、批准、实施及其跟踪验证等。 </w:t>
      </w:r>
    </w:p>
    <w:p>
      <w:pPr>
        <w:spacing w:line="360" w:lineRule="auto"/>
        <w:ind w:firstLine="480" w:firstLineChars="200"/>
        <w:rPr>
          <w:rFonts w:ascii="宋体" w:hAnsi="宋体" w:cs="宋体"/>
          <w:bCs/>
          <w:sz w:val="24"/>
        </w:rPr>
      </w:pPr>
      <w:r>
        <w:rPr>
          <w:rFonts w:hint="eastAsia" w:ascii="宋体" w:hAnsi="宋体" w:cs="宋体"/>
          <w:bCs/>
          <w:sz w:val="24"/>
        </w:rPr>
        <w:t>C3.13 质量改进与服务</w:t>
      </w:r>
    </w:p>
    <w:p>
      <w:pPr>
        <w:spacing w:line="360" w:lineRule="auto"/>
        <w:ind w:firstLine="480" w:firstLineChars="200"/>
        <w:rPr>
          <w:rFonts w:ascii="宋体" w:hAnsi="宋体" w:cs="宋体"/>
          <w:bCs/>
          <w:sz w:val="24"/>
        </w:rPr>
      </w:pPr>
      <w:r>
        <w:rPr>
          <w:rFonts w:hint="eastAsia" w:ascii="宋体" w:hAnsi="宋体" w:cs="宋体"/>
          <w:bCs/>
          <w:sz w:val="24"/>
        </w:rPr>
        <w:t>抽查质量改进与服务控制应包括如下内容：</w:t>
      </w:r>
    </w:p>
    <w:p>
      <w:pPr>
        <w:spacing w:line="360" w:lineRule="auto"/>
        <w:ind w:firstLine="480" w:firstLineChars="200"/>
        <w:rPr>
          <w:rFonts w:ascii="宋体" w:hAnsi="宋体" w:cs="宋体"/>
          <w:bCs/>
          <w:sz w:val="24"/>
        </w:rPr>
      </w:pPr>
      <w:r>
        <w:rPr>
          <w:rFonts w:hint="eastAsia" w:ascii="宋体" w:hAnsi="宋体" w:cs="宋体"/>
          <w:bCs/>
          <w:sz w:val="24"/>
        </w:rPr>
        <w:t xml:space="preserve">（1）质量信息控制，包括内、外部质量信息，市场监督管理部门和监督检验机构提出的质量问题，质量信息收集、汇总、分析、反馈、处理，缺陷召回负责机构设置和职责等； </w:t>
      </w:r>
    </w:p>
    <w:p>
      <w:pPr>
        <w:spacing w:line="360" w:lineRule="auto"/>
        <w:ind w:firstLine="480" w:firstLineChars="200"/>
        <w:rPr>
          <w:rFonts w:ascii="宋体" w:hAnsi="宋体" w:cs="宋体"/>
          <w:bCs/>
          <w:sz w:val="24"/>
        </w:rPr>
      </w:pPr>
      <w:r>
        <w:rPr>
          <w:rFonts w:hint="eastAsia" w:ascii="宋体" w:hAnsi="宋体" w:cs="宋体"/>
          <w:bCs/>
          <w:sz w:val="24"/>
        </w:rPr>
        <w:t>（2）每年至少进行一次完整的内部质量审核、对审核发现的问题分析原因、采取纠正措施并跟踪验证其有效性等；</w:t>
      </w:r>
    </w:p>
    <w:p>
      <w:pPr>
        <w:spacing w:line="360" w:lineRule="auto"/>
        <w:ind w:firstLine="480" w:firstLineChars="200"/>
        <w:rPr>
          <w:rFonts w:ascii="宋体" w:hAnsi="宋体" w:cs="宋体"/>
          <w:bCs/>
          <w:sz w:val="24"/>
        </w:rPr>
      </w:pPr>
      <w:r>
        <w:rPr>
          <w:rFonts w:hint="eastAsia" w:ascii="宋体" w:hAnsi="宋体" w:cs="宋体"/>
          <w:bCs/>
          <w:sz w:val="24"/>
        </w:rPr>
        <w:t xml:space="preserve">（3）对产品一次合格率和返修率进行定期统计、分析、提出具体预防措施等； </w:t>
      </w:r>
    </w:p>
    <w:p>
      <w:pPr>
        <w:spacing w:line="360" w:lineRule="auto"/>
        <w:ind w:firstLine="480" w:firstLineChars="200"/>
        <w:rPr>
          <w:rFonts w:ascii="宋体" w:hAnsi="宋体" w:cs="宋体"/>
          <w:bCs/>
          <w:sz w:val="24"/>
        </w:rPr>
      </w:pPr>
      <w:r>
        <w:rPr>
          <w:rFonts w:hint="eastAsia" w:ascii="宋体" w:hAnsi="宋体" w:cs="宋体"/>
          <w:bCs/>
          <w:sz w:val="24"/>
        </w:rPr>
        <w:t xml:space="preserve">（4）客户服务，包括服务计划、实施、验证和报告，以及相关人员的职责等。 </w:t>
      </w:r>
    </w:p>
    <w:p>
      <w:pPr>
        <w:spacing w:line="360" w:lineRule="auto"/>
        <w:ind w:firstLine="480" w:firstLineChars="200"/>
        <w:rPr>
          <w:rFonts w:ascii="宋体" w:hAnsi="宋体" w:cs="宋体"/>
          <w:bCs/>
          <w:sz w:val="24"/>
        </w:rPr>
      </w:pPr>
      <w:r>
        <w:rPr>
          <w:rFonts w:hint="eastAsia" w:ascii="宋体" w:hAnsi="宋体" w:cs="宋体"/>
          <w:bCs/>
          <w:sz w:val="24"/>
        </w:rPr>
        <w:t>C3.14 人员管理</w:t>
      </w:r>
    </w:p>
    <w:p>
      <w:pPr>
        <w:spacing w:line="360" w:lineRule="auto"/>
        <w:ind w:firstLine="480" w:firstLineChars="200"/>
        <w:rPr>
          <w:rFonts w:ascii="宋体" w:hAnsi="宋体" w:cs="宋体"/>
          <w:bCs/>
          <w:sz w:val="24"/>
        </w:rPr>
      </w:pPr>
      <w:r>
        <w:rPr>
          <w:rFonts w:hint="eastAsia" w:ascii="宋体" w:hAnsi="宋体" w:cs="宋体"/>
          <w:bCs/>
          <w:sz w:val="24"/>
        </w:rPr>
        <w:t>抽查人员管理应包括如下内容：</w:t>
      </w:r>
    </w:p>
    <w:p>
      <w:pPr>
        <w:spacing w:line="360" w:lineRule="auto"/>
        <w:ind w:firstLine="480" w:firstLineChars="200"/>
        <w:rPr>
          <w:rFonts w:ascii="宋体" w:hAnsi="宋体" w:cs="宋体"/>
          <w:bCs/>
          <w:sz w:val="24"/>
        </w:rPr>
      </w:pPr>
      <w:r>
        <w:rPr>
          <w:rFonts w:hint="eastAsia" w:ascii="宋体" w:hAnsi="宋体" w:cs="宋体"/>
          <w:bCs/>
          <w:sz w:val="24"/>
        </w:rPr>
        <w:t xml:space="preserve">（1）人员培训要求、内容、计划和实施等； </w:t>
      </w:r>
    </w:p>
    <w:p>
      <w:pPr>
        <w:spacing w:line="360" w:lineRule="auto"/>
        <w:ind w:firstLine="480" w:firstLineChars="200"/>
        <w:rPr>
          <w:rFonts w:ascii="宋体" w:hAnsi="宋体" w:cs="宋体"/>
          <w:bCs/>
          <w:sz w:val="24"/>
        </w:rPr>
      </w:pPr>
      <w:r>
        <w:rPr>
          <w:rFonts w:hint="eastAsia" w:ascii="宋体" w:hAnsi="宋体" w:cs="宋体"/>
          <w:bCs/>
          <w:sz w:val="24"/>
        </w:rPr>
        <w:t xml:space="preserve">（2）锅炉制造许可所要求的相关人员的培训、考核档案； </w:t>
      </w:r>
    </w:p>
    <w:p>
      <w:pPr>
        <w:spacing w:line="360" w:lineRule="auto"/>
        <w:ind w:firstLine="480" w:firstLineChars="200"/>
        <w:rPr>
          <w:rFonts w:ascii="宋体" w:hAnsi="宋体" w:cs="宋体"/>
          <w:bCs/>
          <w:sz w:val="24"/>
        </w:rPr>
      </w:pPr>
      <w:r>
        <w:rPr>
          <w:rFonts w:hint="eastAsia" w:ascii="宋体" w:hAnsi="宋体" w:cs="宋体"/>
          <w:bCs/>
          <w:sz w:val="24"/>
        </w:rPr>
        <w:t xml:space="preserve">（3）锅炉制造许可所要求的相关人员的聘用管理。 </w:t>
      </w:r>
    </w:p>
    <w:p>
      <w:pPr>
        <w:spacing w:line="360" w:lineRule="auto"/>
        <w:ind w:firstLine="480" w:firstLineChars="200"/>
        <w:rPr>
          <w:rFonts w:ascii="宋体" w:hAnsi="宋体" w:cs="宋体"/>
          <w:bCs/>
          <w:sz w:val="24"/>
        </w:rPr>
      </w:pPr>
      <w:r>
        <w:rPr>
          <w:rFonts w:hint="eastAsia" w:ascii="宋体" w:hAnsi="宋体" w:cs="宋体"/>
          <w:bCs/>
          <w:sz w:val="24"/>
        </w:rPr>
        <w:t>C3.15 其他特殊过程控制</w:t>
      </w:r>
    </w:p>
    <w:p>
      <w:pPr>
        <w:spacing w:line="360" w:lineRule="auto"/>
        <w:ind w:firstLine="480" w:firstLineChars="200"/>
        <w:rPr>
          <w:rFonts w:ascii="宋体" w:hAnsi="宋体" w:cs="宋体"/>
          <w:bCs/>
          <w:sz w:val="24"/>
        </w:rPr>
      </w:pPr>
      <w:r>
        <w:rPr>
          <w:rFonts w:hint="eastAsia" w:ascii="宋体" w:hAnsi="宋体" w:cs="宋体"/>
          <w:bCs/>
          <w:sz w:val="24"/>
        </w:rPr>
        <w:t>抽查其他特殊过程控制是否包括如下内容：</w:t>
      </w:r>
    </w:p>
    <w:p>
      <w:pPr>
        <w:spacing w:line="360" w:lineRule="auto"/>
        <w:ind w:firstLine="480" w:firstLineChars="200"/>
        <w:rPr>
          <w:rFonts w:ascii="宋体" w:hAnsi="宋体" w:cs="宋体"/>
          <w:bCs/>
          <w:sz w:val="24"/>
        </w:rPr>
      </w:pPr>
      <w:r>
        <w:rPr>
          <w:rFonts w:hint="eastAsia" w:ascii="宋体" w:hAnsi="宋体" w:cs="宋体"/>
          <w:bCs/>
          <w:sz w:val="24"/>
        </w:rPr>
        <w:t xml:space="preserve">（1）明确对锅炉产品安全性能的制造保证能力有重要影响的其他过程； </w:t>
      </w:r>
    </w:p>
    <w:p>
      <w:pPr>
        <w:spacing w:line="360" w:lineRule="auto"/>
        <w:ind w:firstLine="480" w:firstLineChars="200"/>
        <w:rPr>
          <w:rFonts w:ascii="宋体" w:hAnsi="宋体" w:cs="宋体"/>
          <w:bCs/>
          <w:sz w:val="24"/>
        </w:rPr>
      </w:pPr>
      <w:r>
        <w:rPr>
          <w:rFonts w:hint="eastAsia" w:ascii="宋体" w:hAnsi="宋体" w:cs="宋体"/>
          <w:bCs/>
          <w:sz w:val="24"/>
        </w:rPr>
        <w:t xml:space="preserve">（2）任命其他过程控制责任人员，明确其职责、权限； </w:t>
      </w:r>
    </w:p>
    <w:p>
      <w:pPr>
        <w:spacing w:line="360" w:lineRule="auto"/>
        <w:ind w:firstLine="480" w:firstLineChars="200"/>
        <w:rPr>
          <w:rFonts w:ascii="宋体" w:hAnsi="宋体" w:cs="宋体"/>
          <w:bCs/>
          <w:sz w:val="24"/>
        </w:rPr>
      </w:pPr>
      <w:r>
        <w:rPr>
          <w:rFonts w:hint="eastAsia" w:ascii="宋体" w:hAnsi="宋体" w:cs="宋体"/>
          <w:bCs/>
          <w:sz w:val="24"/>
        </w:rPr>
        <w:t xml:space="preserve">（3）对其他过程实施控制的相关规定，包括特殊控制要求、过程记录。 </w:t>
      </w:r>
    </w:p>
    <w:p>
      <w:pPr>
        <w:spacing w:line="360" w:lineRule="auto"/>
        <w:ind w:firstLine="480" w:firstLineChars="200"/>
        <w:rPr>
          <w:rFonts w:ascii="宋体" w:hAnsi="宋体" w:cs="宋体"/>
          <w:bCs/>
          <w:sz w:val="24"/>
        </w:rPr>
      </w:pPr>
      <w:r>
        <w:rPr>
          <w:rFonts w:hint="eastAsia" w:ascii="宋体" w:hAnsi="宋体" w:cs="宋体"/>
          <w:bCs/>
          <w:sz w:val="24"/>
        </w:rPr>
        <w:t>C3.16 执行特种设备许可制度</w:t>
      </w:r>
    </w:p>
    <w:p>
      <w:pPr>
        <w:spacing w:line="360" w:lineRule="auto"/>
        <w:ind w:firstLine="480" w:firstLineChars="200"/>
        <w:rPr>
          <w:rFonts w:ascii="宋体" w:hAnsi="宋体" w:cs="宋体"/>
          <w:bCs/>
          <w:sz w:val="24"/>
        </w:rPr>
      </w:pPr>
      <w:r>
        <w:rPr>
          <w:rFonts w:hint="eastAsia" w:ascii="宋体" w:hAnsi="宋体" w:cs="宋体"/>
          <w:bCs/>
          <w:sz w:val="24"/>
        </w:rPr>
        <w:t>抽查执行特种设备许可制度是否包括如下内容：</w:t>
      </w:r>
    </w:p>
    <w:p>
      <w:pPr>
        <w:spacing w:line="360" w:lineRule="auto"/>
        <w:ind w:firstLine="480" w:firstLineChars="200"/>
        <w:rPr>
          <w:rFonts w:ascii="宋体" w:hAnsi="宋体" w:cs="宋体"/>
          <w:bCs/>
          <w:sz w:val="24"/>
        </w:rPr>
      </w:pPr>
      <w:r>
        <w:rPr>
          <w:rFonts w:hint="eastAsia" w:ascii="宋体" w:hAnsi="宋体" w:cs="宋体"/>
          <w:bCs/>
          <w:sz w:val="24"/>
        </w:rPr>
        <w:t>（1）执行特种设备许可制度； </w:t>
      </w:r>
    </w:p>
    <w:p>
      <w:pPr>
        <w:spacing w:line="360" w:lineRule="auto"/>
        <w:ind w:firstLine="480" w:firstLineChars="200"/>
        <w:rPr>
          <w:rFonts w:ascii="宋体" w:hAnsi="宋体" w:cs="宋体"/>
          <w:bCs/>
          <w:sz w:val="24"/>
        </w:rPr>
      </w:pPr>
      <w:r>
        <w:rPr>
          <w:rFonts w:hint="eastAsia" w:ascii="宋体" w:hAnsi="宋体" w:cs="宋体"/>
          <w:bCs/>
          <w:sz w:val="24"/>
        </w:rPr>
        <w:t>（2）接受各级特种设备安全监管部门的监督；</w:t>
      </w:r>
    </w:p>
    <w:p>
      <w:pPr>
        <w:spacing w:line="360" w:lineRule="auto"/>
        <w:ind w:firstLine="480" w:firstLineChars="200"/>
        <w:rPr>
          <w:rFonts w:ascii="宋体" w:hAnsi="宋体" w:cs="宋体"/>
          <w:bCs/>
          <w:sz w:val="24"/>
        </w:rPr>
      </w:pPr>
      <w:r>
        <w:rPr>
          <w:rFonts w:hint="eastAsia" w:ascii="宋体" w:hAnsi="宋体" w:cs="宋体"/>
          <w:bCs/>
          <w:sz w:val="24"/>
        </w:rPr>
        <w:t>（3）接受监督检验，包括法规、安全技术规范对特种设备制造、安装、改造、修理实施监督检验的要求时，制定接受特种设备监督检验的规定，明确专人负责与监督检验人员的工作联系，提供监督检验工作的条件，对监督检验机构提出的《监检工作联络单》、《监检意见通知书》的处理内容等； </w:t>
      </w:r>
    </w:p>
    <w:p>
      <w:pPr>
        <w:spacing w:line="360" w:lineRule="auto"/>
        <w:ind w:firstLine="480" w:firstLineChars="200"/>
        <w:rPr>
          <w:rFonts w:ascii="宋体" w:hAnsi="宋体" w:cs="宋体"/>
          <w:bCs/>
          <w:sz w:val="24"/>
        </w:rPr>
      </w:pPr>
      <w:r>
        <w:rPr>
          <w:rFonts w:hint="eastAsia" w:ascii="宋体" w:hAnsi="宋体" w:cs="宋体"/>
          <w:bCs/>
          <w:sz w:val="24"/>
        </w:rPr>
        <w:t>（4）特种设备许可证管理，包括遵守相关法律法规和安全技术规范的规定、特种设备许可情况（如名称、地点、质量保证体系）发生变更、变化时，及时办理变更申请和备案的规定，特种设备许可证及许可标志使用管理的规定，特种设备许可证换证要求等；</w:t>
      </w:r>
    </w:p>
    <w:p>
      <w:pPr>
        <w:spacing w:line="360" w:lineRule="auto"/>
        <w:ind w:firstLine="480" w:firstLineChars="200"/>
        <w:rPr>
          <w:rFonts w:ascii="宋体" w:hAnsi="宋体" w:cs="宋体"/>
          <w:bCs/>
          <w:sz w:val="24"/>
        </w:rPr>
      </w:pPr>
      <w:r>
        <w:rPr>
          <w:rFonts w:hint="eastAsia" w:ascii="宋体" w:hAnsi="宋体" w:cs="宋体"/>
          <w:bCs/>
          <w:sz w:val="24"/>
        </w:rPr>
        <w:t>（5）提供相关信息，包括按照法规、安全技术规范以及信息化工作要求，向市场监督管理部门、检验机构和社会提供生产过程的相关信息，以及机构设置、人员配备和设备设施的情况等。</w:t>
      </w:r>
    </w:p>
    <w:p>
      <w:pPr>
        <w:spacing w:line="360" w:lineRule="auto"/>
        <w:ind w:firstLine="480" w:firstLineChars="200"/>
        <w:rPr>
          <w:rFonts w:ascii="宋体" w:hAnsi="宋体" w:cs="宋体"/>
          <w:bCs/>
          <w:sz w:val="24"/>
        </w:rPr>
      </w:pPr>
      <w:r>
        <w:rPr>
          <w:rFonts w:hint="eastAsia" w:ascii="宋体" w:hAnsi="宋体" w:cs="宋体"/>
          <w:bCs/>
          <w:sz w:val="24"/>
        </w:rPr>
        <w:t>执行特种设备许可制度情况，由质量保证工程师进行监督检查，对市场监督管理部门监督检查提出的意见、监督检验机构提出的《监检意见通知书》，提出处理意见，并且对处理结果审查确认，作出记录。</w:t>
      </w:r>
    </w:p>
    <w:sectPr>
      <w:headerReference r:id="rId5" w:type="default"/>
      <w:footerReference r:id="rId6" w:type="default"/>
      <w:pgSz w:w="11906" w:h="16838"/>
      <w:pgMar w:top="1304" w:right="1134" w:bottom="1021" w:left="1588" w:header="851" w:footer="992" w:gutter="0"/>
      <w:pgNumType w:fmt="numberInDash"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0" w:beforeAutospacing="0" w:after="0" w:afterAutospacing="0" w:line="360" w:lineRule="auto"/>
      <w:jc w:val="right"/>
      <w:rPr>
        <w:rFonts w:hAnsi="宋体"/>
        <w:sz w:val="18"/>
        <w:szCs w:val="18"/>
      </w:rPr>
    </w:pPr>
    <w:r>
      <w:pict>
        <v:line id="_x0000_s1045" o:spid="_x0000_s1045" o:spt="20" style="position:absolute;left:0pt;margin-left:0pt;margin-top:11.9pt;height:0pt;width:459pt;z-index:251660288;mso-width-relative:page;mso-height-relative:page;" coordsize="21600,21600">
          <v:path arrowok="t"/>
          <v:fill focussize="0,0"/>
          <v:stroke/>
          <v:imagedata o:title=""/>
          <o:lock v:ext="edit"/>
        </v:line>
      </w:pict>
    </w:r>
  </w:p>
  <w:p>
    <w:pPr>
      <w:pStyle w:val="14"/>
      <w:rPr>
        <w:rFonts w:ascii="宋体" w:hAnsi="宋体"/>
        <w:u w:val="single"/>
      </w:rPr>
    </w:pPr>
    <w:r>
      <w:pict>
        <v:shape id="_x0000_s1046" o:spid="_x0000_s1046" o:spt="202" type="#_x0000_t202" style="position:absolute;left:0pt;margin-left:216.45pt;margin-top:1.5pt;height:13.5pt;width:31.9pt;mso-position-horizontal-relative:margin;z-index:251661312;mso-width-relative:page;mso-height-relative:page;" filled="f" stroked="f" coordsize="21600,21600">
          <v:path/>
          <v:fill on="f" focussize="0,0"/>
          <v:stroke on="f" joinstyle="miter"/>
          <v:imagedata o:title=""/>
          <o:lock v:ext="edit"/>
          <v:textbox inset="0mm,0mm,0mm,0mm">
            <w:txbxContent>
              <w:p>
                <w:pPr>
                  <w:pStyle w:val="14"/>
                  <w:jc w:val="center"/>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w:t>
                </w:r>
                <w:r>
                  <w:rPr>
                    <w:rFonts w:hint="eastAsia" w:ascii="宋体" w:hAnsi="宋体" w:cs="宋体"/>
                  </w:rPr>
                  <w:fldChar w:fldCharType="end"/>
                </w:r>
              </w:p>
            </w:txbxContent>
          </v:textbox>
        </v:shape>
      </w:pict>
    </w:r>
    <w:r>
      <w:rPr>
        <w:rFonts w:hint="eastAsia" w:ascii="宋体" w:hAnsi="宋体"/>
      </w:rPr>
      <w:t>2022年12月10日发布                                                            2023年01月01日实施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0" w:beforeAutospacing="0" w:after="0" w:afterAutospacing="0" w:line="360" w:lineRule="auto"/>
      <w:rPr>
        <w:rFonts w:hAnsi="宋体"/>
        <w:sz w:val="18"/>
        <w:szCs w:val="18"/>
      </w:rPr>
    </w:pPr>
    <w:r>
      <w:rPr>
        <w:rFonts w:hAnsi="宋体"/>
        <w:sz w:val="18"/>
        <w:szCs w:val="18"/>
      </w:rPr>
      <w:pict>
        <v:line id="直线 1029" o:spid="_x0000_s1036" o:spt="20" style="position:absolute;left:0pt;margin-left:0.5pt;margin-top:22.35pt;height:0pt;width:459pt;z-index:251659264;mso-width-relative:page;mso-height-relative:page;" coordsize="21600,21600">
          <v:path arrowok="t"/>
          <v:fill focussize="0,0"/>
          <v:stroke/>
          <v:imagedata o:title=""/>
          <o:lock v:ext="edit"/>
        </v:line>
      </w:pict>
    </w:r>
    <w:r>
      <w:rPr>
        <w:rFonts w:hint="eastAsia" w:hAnsi="宋体"/>
        <w:sz w:val="18"/>
        <w:szCs w:val="18"/>
      </w:rPr>
      <w:t xml:space="preserve">XTXPS/ZN-GLZ-2022                                 </w:t>
    </w:r>
    <w:r>
      <w:rPr>
        <w:rFonts w:ascii="华文行楷" w:eastAsia="华文行楷"/>
        <w:sz w:val="21"/>
      </w:rPr>
      <w:drawing>
        <wp:inline distT="0" distB="0" distL="0" distR="0">
          <wp:extent cx="256540" cy="232410"/>
          <wp:effectExtent l="0" t="0" r="2540" b="11430"/>
          <wp:docPr id="1" name="图片 1" descr="e5657a49cace232bfda4816bfeee5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5657a49cace232bfda4816bfeee5ff"/>
                  <pic:cNvPicPr>
                    <a:picLocks noChangeAspect="1" noChangeArrowheads="1"/>
                  </pic:cNvPicPr>
                </pic:nvPicPr>
                <pic:blipFill>
                  <a:blip r:embed="rId1"/>
                  <a:srcRect/>
                  <a:stretch>
                    <a:fillRect/>
                  </a:stretch>
                </pic:blipFill>
                <pic:spPr>
                  <a:xfrm>
                    <a:off x="0" y="0"/>
                    <a:ext cx="256540" cy="232410"/>
                  </a:xfrm>
                  <a:prstGeom prst="rect">
                    <a:avLst/>
                  </a:prstGeom>
                  <a:noFill/>
                  <a:ln w="9525">
                    <a:noFill/>
                    <a:miter lim="800000"/>
                    <a:headEnd/>
                    <a:tailEnd/>
                  </a:ln>
                </pic:spPr>
              </pic:pic>
            </a:graphicData>
          </a:graphic>
        </wp:inline>
      </w:drawing>
    </w:r>
    <w:r>
      <w:rPr>
        <w:rFonts w:hint="eastAsia" w:hAnsi="宋体"/>
        <w:sz w:val="18"/>
        <w:szCs w:val="18"/>
      </w:rPr>
      <w:t xml:space="preserve">                                      </w:t>
    </w:r>
    <w:r>
      <w:rPr>
        <w:rStyle w:val="22"/>
        <w:rFonts w:hint="eastAsia" w:hAnsi="宋体" w:cs="宋体"/>
        <w:bCs/>
        <w:sz w:val="18"/>
        <w:szCs w:val="18"/>
      </w:rPr>
      <w:t>专用指南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8"/>
  <w:noPunctuationKerning w:val="1"/>
  <w:characterSpacingControl w:val="compressPunctuation"/>
  <w:doNotValidateAgainstSchema/>
  <w:doNotDemarcateInvalidXml/>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mUyZDIwMzc5NTRjNGFmODI1ZGQ3Yjg4NWVhMjA2MzQifQ=="/>
  </w:docVars>
  <w:rsids>
    <w:rsidRoot w:val="00172A27"/>
    <w:rsid w:val="00001B13"/>
    <w:rsid w:val="00002EA4"/>
    <w:rsid w:val="00003520"/>
    <w:rsid w:val="00003900"/>
    <w:rsid w:val="00003AB4"/>
    <w:rsid w:val="00004273"/>
    <w:rsid w:val="000045ED"/>
    <w:rsid w:val="00004D3F"/>
    <w:rsid w:val="00006A7F"/>
    <w:rsid w:val="00011FF5"/>
    <w:rsid w:val="00012E9B"/>
    <w:rsid w:val="00016C90"/>
    <w:rsid w:val="00022E43"/>
    <w:rsid w:val="0002321A"/>
    <w:rsid w:val="00023EDE"/>
    <w:rsid w:val="00025CAB"/>
    <w:rsid w:val="000263CF"/>
    <w:rsid w:val="00026CDA"/>
    <w:rsid w:val="000278DD"/>
    <w:rsid w:val="00030568"/>
    <w:rsid w:val="000307CA"/>
    <w:rsid w:val="00031B61"/>
    <w:rsid w:val="0003229D"/>
    <w:rsid w:val="0003291C"/>
    <w:rsid w:val="000338A3"/>
    <w:rsid w:val="0003430E"/>
    <w:rsid w:val="000352E5"/>
    <w:rsid w:val="00036143"/>
    <w:rsid w:val="00040F94"/>
    <w:rsid w:val="00044FCB"/>
    <w:rsid w:val="00045CF2"/>
    <w:rsid w:val="00045E4A"/>
    <w:rsid w:val="00046782"/>
    <w:rsid w:val="000471C3"/>
    <w:rsid w:val="00050AF3"/>
    <w:rsid w:val="000522C8"/>
    <w:rsid w:val="00054376"/>
    <w:rsid w:val="00054E73"/>
    <w:rsid w:val="00056F8A"/>
    <w:rsid w:val="00057C87"/>
    <w:rsid w:val="00061BF9"/>
    <w:rsid w:val="00061D52"/>
    <w:rsid w:val="00062110"/>
    <w:rsid w:val="000653DE"/>
    <w:rsid w:val="0006591C"/>
    <w:rsid w:val="00066AFD"/>
    <w:rsid w:val="000702CC"/>
    <w:rsid w:val="0007043F"/>
    <w:rsid w:val="0007167B"/>
    <w:rsid w:val="00071E6F"/>
    <w:rsid w:val="000722D7"/>
    <w:rsid w:val="00072D18"/>
    <w:rsid w:val="00072DEB"/>
    <w:rsid w:val="000736EE"/>
    <w:rsid w:val="000738C4"/>
    <w:rsid w:val="0007667C"/>
    <w:rsid w:val="00076DB8"/>
    <w:rsid w:val="000775B9"/>
    <w:rsid w:val="000776E8"/>
    <w:rsid w:val="00077BFA"/>
    <w:rsid w:val="000807FB"/>
    <w:rsid w:val="00082AC5"/>
    <w:rsid w:val="00082B74"/>
    <w:rsid w:val="000833E4"/>
    <w:rsid w:val="00083469"/>
    <w:rsid w:val="0008354F"/>
    <w:rsid w:val="00083561"/>
    <w:rsid w:val="00084650"/>
    <w:rsid w:val="00084FD8"/>
    <w:rsid w:val="000851E9"/>
    <w:rsid w:val="00085CAE"/>
    <w:rsid w:val="00086950"/>
    <w:rsid w:val="00086CEA"/>
    <w:rsid w:val="00086F80"/>
    <w:rsid w:val="0009085E"/>
    <w:rsid w:val="00097E10"/>
    <w:rsid w:val="000A14FB"/>
    <w:rsid w:val="000A202E"/>
    <w:rsid w:val="000A2146"/>
    <w:rsid w:val="000A3AA5"/>
    <w:rsid w:val="000A4EE5"/>
    <w:rsid w:val="000A5D84"/>
    <w:rsid w:val="000A61A3"/>
    <w:rsid w:val="000A649B"/>
    <w:rsid w:val="000A68D8"/>
    <w:rsid w:val="000A6C3A"/>
    <w:rsid w:val="000A7928"/>
    <w:rsid w:val="000B105F"/>
    <w:rsid w:val="000B1AC1"/>
    <w:rsid w:val="000B327F"/>
    <w:rsid w:val="000B3555"/>
    <w:rsid w:val="000B566A"/>
    <w:rsid w:val="000B5A28"/>
    <w:rsid w:val="000B6B2A"/>
    <w:rsid w:val="000C0425"/>
    <w:rsid w:val="000C3FB8"/>
    <w:rsid w:val="000C4F45"/>
    <w:rsid w:val="000C4F48"/>
    <w:rsid w:val="000C61A4"/>
    <w:rsid w:val="000C6650"/>
    <w:rsid w:val="000C7D24"/>
    <w:rsid w:val="000C7EA0"/>
    <w:rsid w:val="000D40E8"/>
    <w:rsid w:val="000D45F5"/>
    <w:rsid w:val="000D5649"/>
    <w:rsid w:val="000D6CF2"/>
    <w:rsid w:val="000E36E4"/>
    <w:rsid w:val="000E4C46"/>
    <w:rsid w:val="00102347"/>
    <w:rsid w:val="001023B7"/>
    <w:rsid w:val="00103662"/>
    <w:rsid w:val="001038CD"/>
    <w:rsid w:val="00103927"/>
    <w:rsid w:val="00105602"/>
    <w:rsid w:val="00105CC7"/>
    <w:rsid w:val="00105DEB"/>
    <w:rsid w:val="001061CF"/>
    <w:rsid w:val="001077E5"/>
    <w:rsid w:val="00110DE5"/>
    <w:rsid w:val="00110F8F"/>
    <w:rsid w:val="00110FBB"/>
    <w:rsid w:val="00111195"/>
    <w:rsid w:val="001147EF"/>
    <w:rsid w:val="00114A2D"/>
    <w:rsid w:val="00114B33"/>
    <w:rsid w:val="00116B3E"/>
    <w:rsid w:val="00116B5B"/>
    <w:rsid w:val="001219FC"/>
    <w:rsid w:val="001225E2"/>
    <w:rsid w:val="00123229"/>
    <w:rsid w:val="00125805"/>
    <w:rsid w:val="00125F3A"/>
    <w:rsid w:val="00126492"/>
    <w:rsid w:val="00126794"/>
    <w:rsid w:val="001315FC"/>
    <w:rsid w:val="00131CF7"/>
    <w:rsid w:val="001325E0"/>
    <w:rsid w:val="0013579D"/>
    <w:rsid w:val="0013587C"/>
    <w:rsid w:val="0013671F"/>
    <w:rsid w:val="001372DE"/>
    <w:rsid w:val="00137B7D"/>
    <w:rsid w:val="0014198F"/>
    <w:rsid w:val="00141B05"/>
    <w:rsid w:val="001427A8"/>
    <w:rsid w:val="001427FE"/>
    <w:rsid w:val="001441AC"/>
    <w:rsid w:val="00145208"/>
    <w:rsid w:val="0014621F"/>
    <w:rsid w:val="001502B1"/>
    <w:rsid w:val="00150B10"/>
    <w:rsid w:val="00151533"/>
    <w:rsid w:val="00151689"/>
    <w:rsid w:val="00151D30"/>
    <w:rsid w:val="00151D9D"/>
    <w:rsid w:val="00152A6A"/>
    <w:rsid w:val="00153845"/>
    <w:rsid w:val="00153A9B"/>
    <w:rsid w:val="0015452C"/>
    <w:rsid w:val="001545C3"/>
    <w:rsid w:val="00154916"/>
    <w:rsid w:val="00154FBF"/>
    <w:rsid w:val="00155475"/>
    <w:rsid w:val="001567D2"/>
    <w:rsid w:val="00156E5F"/>
    <w:rsid w:val="00157F94"/>
    <w:rsid w:val="00157FBD"/>
    <w:rsid w:val="001643E8"/>
    <w:rsid w:val="001647C7"/>
    <w:rsid w:val="00166D8E"/>
    <w:rsid w:val="00171831"/>
    <w:rsid w:val="00172285"/>
    <w:rsid w:val="00172608"/>
    <w:rsid w:val="00172736"/>
    <w:rsid w:val="00172A27"/>
    <w:rsid w:val="00172A4E"/>
    <w:rsid w:val="0017300C"/>
    <w:rsid w:val="00174B0A"/>
    <w:rsid w:val="00174CB8"/>
    <w:rsid w:val="00175E7C"/>
    <w:rsid w:val="00175FC2"/>
    <w:rsid w:val="001763B8"/>
    <w:rsid w:val="00176852"/>
    <w:rsid w:val="0018126F"/>
    <w:rsid w:val="00181F19"/>
    <w:rsid w:val="001828B8"/>
    <w:rsid w:val="00182A46"/>
    <w:rsid w:val="001832E5"/>
    <w:rsid w:val="001833CD"/>
    <w:rsid w:val="00183F24"/>
    <w:rsid w:val="00185497"/>
    <w:rsid w:val="0018594D"/>
    <w:rsid w:val="00186BBE"/>
    <w:rsid w:val="00190DB7"/>
    <w:rsid w:val="00192364"/>
    <w:rsid w:val="00195B9C"/>
    <w:rsid w:val="00195DCD"/>
    <w:rsid w:val="00196809"/>
    <w:rsid w:val="00197F83"/>
    <w:rsid w:val="001A09BD"/>
    <w:rsid w:val="001A1863"/>
    <w:rsid w:val="001A1ADA"/>
    <w:rsid w:val="001A1D4B"/>
    <w:rsid w:val="001A2C49"/>
    <w:rsid w:val="001A37A6"/>
    <w:rsid w:val="001B0B90"/>
    <w:rsid w:val="001B1833"/>
    <w:rsid w:val="001B1FA6"/>
    <w:rsid w:val="001B2FA1"/>
    <w:rsid w:val="001B3310"/>
    <w:rsid w:val="001B3CFC"/>
    <w:rsid w:val="001B464D"/>
    <w:rsid w:val="001B539A"/>
    <w:rsid w:val="001B5BCC"/>
    <w:rsid w:val="001B6C88"/>
    <w:rsid w:val="001B73B9"/>
    <w:rsid w:val="001B7D98"/>
    <w:rsid w:val="001C0322"/>
    <w:rsid w:val="001C0E02"/>
    <w:rsid w:val="001C2BE0"/>
    <w:rsid w:val="001C3405"/>
    <w:rsid w:val="001C3C99"/>
    <w:rsid w:val="001C7219"/>
    <w:rsid w:val="001D0269"/>
    <w:rsid w:val="001D06F0"/>
    <w:rsid w:val="001D0C17"/>
    <w:rsid w:val="001D2021"/>
    <w:rsid w:val="001D208D"/>
    <w:rsid w:val="001D2597"/>
    <w:rsid w:val="001D28C7"/>
    <w:rsid w:val="001D2C0A"/>
    <w:rsid w:val="001D3724"/>
    <w:rsid w:val="001D410B"/>
    <w:rsid w:val="001D48B4"/>
    <w:rsid w:val="001D51C4"/>
    <w:rsid w:val="001D5C42"/>
    <w:rsid w:val="001D611C"/>
    <w:rsid w:val="001D6E07"/>
    <w:rsid w:val="001E026A"/>
    <w:rsid w:val="001E08B1"/>
    <w:rsid w:val="001E0A4D"/>
    <w:rsid w:val="001E0D6D"/>
    <w:rsid w:val="001E12F7"/>
    <w:rsid w:val="001E1F5F"/>
    <w:rsid w:val="001E212C"/>
    <w:rsid w:val="001E36EB"/>
    <w:rsid w:val="001E3990"/>
    <w:rsid w:val="001E46BF"/>
    <w:rsid w:val="001E6A20"/>
    <w:rsid w:val="001E7C23"/>
    <w:rsid w:val="001F1003"/>
    <w:rsid w:val="001F1AFA"/>
    <w:rsid w:val="001F2356"/>
    <w:rsid w:val="001F2858"/>
    <w:rsid w:val="001F298A"/>
    <w:rsid w:val="001F359C"/>
    <w:rsid w:val="001F371F"/>
    <w:rsid w:val="001F3770"/>
    <w:rsid w:val="001F57E9"/>
    <w:rsid w:val="001F5B40"/>
    <w:rsid w:val="001F6F21"/>
    <w:rsid w:val="0020012C"/>
    <w:rsid w:val="00202479"/>
    <w:rsid w:val="002025F8"/>
    <w:rsid w:val="0020264F"/>
    <w:rsid w:val="002031DC"/>
    <w:rsid w:val="00203451"/>
    <w:rsid w:val="00203775"/>
    <w:rsid w:val="00203DDC"/>
    <w:rsid w:val="002048ED"/>
    <w:rsid w:val="00206CCD"/>
    <w:rsid w:val="00206DBF"/>
    <w:rsid w:val="00211C89"/>
    <w:rsid w:val="00212182"/>
    <w:rsid w:val="00214AEF"/>
    <w:rsid w:val="00214EA3"/>
    <w:rsid w:val="00215152"/>
    <w:rsid w:val="00216043"/>
    <w:rsid w:val="00217A0B"/>
    <w:rsid w:val="00220E10"/>
    <w:rsid w:val="0022210B"/>
    <w:rsid w:val="00222153"/>
    <w:rsid w:val="0022216B"/>
    <w:rsid w:val="00222338"/>
    <w:rsid w:val="00222E0F"/>
    <w:rsid w:val="0022326E"/>
    <w:rsid w:val="00223306"/>
    <w:rsid w:val="00223555"/>
    <w:rsid w:val="0022434B"/>
    <w:rsid w:val="002249F6"/>
    <w:rsid w:val="00224D96"/>
    <w:rsid w:val="00226B9A"/>
    <w:rsid w:val="0022701E"/>
    <w:rsid w:val="00227EB1"/>
    <w:rsid w:val="00230078"/>
    <w:rsid w:val="002310BE"/>
    <w:rsid w:val="00231AB4"/>
    <w:rsid w:val="00231BB4"/>
    <w:rsid w:val="00232382"/>
    <w:rsid w:val="002328B4"/>
    <w:rsid w:val="00234723"/>
    <w:rsid w:val="00234B3E"/>
    <w:rsid w:val="002373BF"/>
    <w:rsid w:val="00237941"/>
    <w:rsid w:val="0024035C"/>
    <w:rsid w:val="00240DAA"/>
    <w:rsid w:val="002415CF"/>
    <w:rsid w:val="0024187B"/>
    <w:rsid w:val="00241F0C"/>
    <w:rsid w:val="002433FE"/>
    <w:rsid w:val="0024353E"/>
    <w:rsid w:val="002464C8"/>
    <w:rsid w:val="002478A1"/>
    <w:rsid w:val="00250331"/>
    <w:rsid w:val="002510AF"/>
    <w:rsid w:val="00251379"/>
    <w:rsid w:val="00252AD7"/>
    <w:rsid w:val="0025496C"/>
    <w:rsid w:val="00254C9B"/>
    <w:rsid w:val="00257FEA"/>
    <w:rsid w:val="00261824"/>
    <w:rsid w:val="00264813"/>
    <w:rsid w:val="0026551F"/>
    <w:rsid w:val="00265D9F"/>
    <w:rsid w:val="00266444"/>
    <w:rsid w:val="0026756A"/>
    <w:rsid w:val="00267A9F"/>
    <w:rsid w:val="002702FB"/>
    <w:rsid w:val="0027059E"/>
    <w:rsid w:val="0027291D"/>
    <w:rsid w:val="002746B4"/>
    <w:rsid w:val="00274AEC"/>
    <w:rsid w:val="00275685"/>
    <w:rsid w:val="00276137"/>
    <w:rsid w:val="00276FB0"/>
    <w:rsid w:val="0027749A"/>
    <w:rsid w:val="00280EB3"/>
    <w:rsid w:val="00281257"/>
    <w:rsid w:val="00283930"/>
    <w:rsid w:val="00287E73"/>
    <w:rsid w:val="002909BD"/>
    <w:rsid w:val="00291DC4"/>
    <w:rsid w:val="00292FC2"/>
    <w:rsid w:val="00295297"/>
    <w:rsid w:val="002958F2"/>
    <w:rsid w:val="00295C4E"/>
    <w:rsid w:val="002A192E"/>
    <w:rsid w:val="002A1B8A"/>
    <w:rsid w:val="002A37B0"/>
    <w:rsid w:val="002A3869"/>
    <w:rsid w:val="002A4B74"/>
    <w:rsid w:val="002A5DF7"/>
    <w:rsid w:val="002A6061"/>
    <w:rsid w:val="002A7064"/>
    <w:rsid w:val="002A7085"/>
    <w:rsid w:val="002A767D"/>
    <w:rsid w:val="002B0CFD"/>
    <w:rsid w:val="002B1209"/>
    <w:rsid w:val="002B207D"/>
    <w:rsid w:val="002B2CDD"/>
    <w:rsid w:val="002B3ECB"/>
    <w:rsid w:val="002B43D9"/>
    <w:rsid w:val="002B5679"/>
    <w:rsid w:val="002B7193"/>
    <w:rsid w:val="002B74F1"/>
    <w:rsid w:val="002C2628"/>
    <w:rsid w:val="002C332C"/>
    <w:rsid w:val="002C4D08"/>
    <w:rsid w:val="002C65BB"/>
    <w:rsid w:val="002D1221"/>
    <w:rsid w:val="002D2552"/>
    <w:rsid w:val="002D2B92"/>
    <w:rsid w:val="002D3934"/>
    <w:rsid w:val="002D3D06"/>
    <w:rsid w:val="002D43AB"/>
    <w:rsid w:val="002D64F0"/>
    <w:rsid w:val="002D6D51"/>
    <w:rsid w:val="002D7B93"/>
    <w:rsid w:val="002E0348"/>
    <w:rsid w:val="002E0B25"/>
    <w:rsid w:val="002E0B3F"/>
    <w:rsid w:val="002E10B6"/>
    <w:rsid w:val="002E1360"/>
    <w:rsid w:val="002E2398"/>
    <w:rsid w:val="002E2FE1"/>
    <w:rsid w:val="002F0457"/>
    <w:rsid w:val="002F2C34"/>
    <w:rsid w:val="002F30C2"/>
    <w:rsid w:val="002F33C3"/>
    <w:rsid w:val="002F44B0"/>
    <w:rsid w:val="002F56BA"/>
    <w:rsid w:val="002F62EB"/>
    <w:rsid w:val="002F663C"/>
    <w:rsid w:val="002F6E8B"/>
    <w:rsid w:val="002F7E2A"/>
    <w:rsid w:val="0030153E"/>
    <w:rsid w:val="00302D7C"/>
    <w:rsid w:val="00303AB4"/>
    <w:rsid w:val="00303C4C"/>
    <w:rsid w:val="00304DB6"/>
    <w:rsid w:val="00305851"/>
    <w:rsid w:val="00307482"/>
    <w:rsid w:val="003100F7"/>
    <w:rsid w:val="00313348"/>
    <w:rsid w:val="00313CAC"/>
    <w:rsid w:val="0031493B"/>
    <w:rsid w:val="00314F42"/>
    <w:rsid w:val="00315813"/>
    <w:rsid w:val="00315E29"/>
    <w:rsid w:val="00316717"/>
    <w:rsid w:val="00317374"/>
    <w:rsid w:val="00317548"/>
    <w:rsid w:val="00320475"/>
    <w:rsid w:val="0032073D"/>
    <w:rsid w:val="00320F60"/>
    <w:rsid w:val="0032194A"/>
    <w:rsid w:val="00321B1F"/>
    <w:rsid w:val="00322AB1"/>
    <w:rsid w:val="003307E8"/>
    <w:rsid w:val="00332666"/>
    <w:rsid w:val="00335607"/>
    <w:rsid w:val="00335D83"/>
    <w:rsid w:val="00335F63"/>
    <w:rsid w:val="00337830"/>
    <w:rsid w:val="003420A7"/>
    <w:rsid w:val="00343756"/>
    <w:rsid w:val="00343DAA"/>
    <w:rsid w:val="00343EC9"/>
    <w:rsid w:val="0034449E"/>
    <w:rsid w:val="00346F2D"/>
    <w:rsid w:val="0035028E"/>
    <w:rsid w:val="00351581"/>
    <w:rsid w:val="0035326C"/>
    <w:rsid w:val="00353D71"/>
    <w:rsid w:val="00355191"/>
    <w:rsid w:val="00355DD4"/>
    <w:rsid w:val="00357982"/>
    <w:rsid w:val="003603AD"/>
    <w:rsid w:val="00363EAF"/>
    <w:rsid w:val="003652E6"/>
    <w:rsid w:val="00365AF7"/>
    <w:rsid w:val="00367FFE"/>
    <w:rsid w:val="0037263C"/>
    <w:rsid w:val="003754DB"/>
    <w:rsid w:val="00376B0D"/>
    <w:rsid w:val="00377641"/>
    <w:rsid w:val="00380CA1"/>
    <w:rsid w:val="00382B6A"/>
    <w:rsid w:val="00384028"/>
    <w:rsid w:val="003848B5"/>
    <w:rsid w:val="00384906"/>
    <w:rsid w:val="00386090"/>
    <w:rsid w:val="00386B05"/>
    <w:rsid w:val="00387B76"/>
    <w:rsid w:val="00387DB3"/>
    <w:rsid w:val="003919AD"/>
    <w:rsid w:val="0039452D"/>
    <w:rsid w:val="00395306"/>
    <w:rsid w:val="00395870"/>
    <w:rsid w:val="00395F84"/>
    <w:rsid w:val="00396C35"/>
    <w:rsid w:val="003A172C"/>
    <w:rsid w:val="003A2626"/>
    <w:rsid w:val="003A30E1"/>
    <w:rsid w:val="003A4AD3"/>
    <w:rsid w:val="003A590C"/>
    <w:rsid w:val="003B06EA"/>
    <w:rsid w:val="003B2F6E"/>
    <w:rsid w:val="003B37CB"/>
    <w:rsid w:val="003B484B"/>
    <w:rsid w:val="003B75BD"/>
    <w:rsid w:val="003C462E"/>
    <w:rsid w:val="003C475D"/>
    <w:rsid w:val="003C5176"/>
    <w:rsid w:val="003C565A"/>
    <w:rsid w:val="003C71E9"/>
    <w:rsid w:val="003D0429"/>
    <w:rsid w:val="003D18E9"/>
    <w:rsid w:val="003D2AC4"/>
    <w:rsid w:val="003D2D5F"/>
    <w:rsid w:val="003D3616"/>
    <w:rsid w:val="003D5A58"/>
    <w:rsid w:val="003D670E"/>
    <w:rsid w:val="003D7376"/>
    <w:rsid w:val="003D7B7A"/>
    <w:rsid w:val="003D7C13"/>
    <w:rsid w:val="003D7CBC"/>
    <w:rsid w:val="003E1933"/>
    <w:rsid w:val="003E1BAF"/>
    <w:rsid w:val="003E1D96"/>
    <w:rsid w:val="003E1E55"/>
    <w:rsid w:val="003E2A32"/>
    <w:rsid w:val="003E32D2"/>
    <w:rsid w:val="003E3759"/>
    <w:rsid w:val="003E4DB8"/>
    <w:rsid w:val="003E4E18"/>
    <w:rsid w:val="003E5521"/>
    <w:rsid w:val="003E5B66"/>
    <w:rsid w:val="003E654D"/>
    <w:rsid w:val="003E7363"/>
    <w:rsid w:val="003F0A56"/>
    <w:rsid w:val="003F0F06"/>
    <w:rsid w:val="003F16A9"/>
    <w:rsid w:val="003F1776"/>
    <w:rsid w:val="003F2027"/>
    <w:rsid w:val="003F4ADD"/>
    <w:rsid w:val="003F564A"/>
    <w:rsid w:val="00401916"/>
    <w:rsid w:val="00401A0B"/>
    <w:rsid w:val="0040477A"/>
    <w:rsid w:val="00404781"/>
    <w:rsid w:val="00406AAD"/>
    <w:rsid w:val="00407667"/>
    <w:rsid w:val="00407CA7"/>
    <w:rsid w:val="0041092A"/>
    <w:rsid w:val="0041096A"/>
    <w:rsid w:val="004109B8"/>
    <w:rsid w:val="00411087"/>
    <w:rsid w:val="004113A3"/>
    <w:rsid w:val="0041352A"/>
    <w:rsid w:val="0041377A"/>
    <w:rsid w:val="00414131"/>
    <w:rsid w:val="00414407"/>
    <w:rsid w:val="004144CF"/>
    <w:rsid w:val="00415085"/>
    <w:rsid w:val="00416C7F"/>
    <w:rsid w:val="00417207"/>
    <w:rsid w:val="004174CF"/>
    <w:rsid w:val="00417BBF"/>
    <w:rsid w:val="00422006"/>
    <w:rsid w:val="00422FA1"/>
    <w:rsid w:val="0042484F"/>
    <w:rsid w:val="00426404"/>
    <w:rsid w:val="00426EF5"/>
    <w:rsid w:val="00427C29"/>
    <w:rsid w:val="004309D3"/>
    <w:rsid w:val="00434E12"/>
    <w:rsid w:val="00435D04"/>
    <w:rsid w:val="00436E1D"/>
    <w:rsid w:val="0043786F"/>
    <w:rsid w:val="0044007A"/>
    <w:rsid w:val="004404D4"/>
    <w:rsid w:val="00443363"/>
    <w:rsid w:val="00443C50"/>
    <w:rsid w:val="00444097"/>
    <w:rsid w:val="00444643"/>
    <w:rsid w:val="00444F0A"/>
    <w:rsid w:val="00447464"/>
    <w:rsid w:val="00447A18"/>
    <w:rsid w:val="00447A7A"/>
    <w:rsid w:val="004508D7"/>
    <w:rsid w:val="00450CDB"/>
    <w:rsid w:val="004524FE"/>
    <w:rsid w:val="00452DE7"/>
    <w:rsid w:val="004534BB"/>
    <w:rsid w:val="004537EE"/>
    <w:rsid w:val="00453C41"/>
    <w:rsid w:val="00453D05"/>
    <w:rsid w:val="004547DA"/>
    <w:rsid w:val="0045662E"/>
    <w:rsid w:val="00461361"/>
    <w:rsid w:val="00461A68"/>
    <w:rsid w:val="004636A9"/>
    <w:rsid w:val="00464F97"/>
    <w:rsid w:val="0046771F"/>
    <w:rsid w:val="00472EBA"/>
    <w:rsid w:val="00473289"/>
    <w:rsid w:val="00474298"/>
    <w:rsid w:val="00474488"/>
    <w:rsid w:val="0047586A"/>
    <w:rsid w:val="00475D36"/>
    <w:rsid w:val="00480B39"/>
    <w:rsid w:val="0048111F"/>
    <w:rsid w:val="00481E2A"/>
    <w:rsid w:val="004825FD"/>
    <w:rsid w:val="00482D3C"/>
    <w:rsid w:val="00483351"/>
    <w:rsid w:val="00483860"/>
    <w:rsid w:val="004848CA"/>
    <w:rsid w:val="00484D52"/>
    <w:rsid w:val="004858F0"/>
    <w:rsid w:val="00486B42"/>
    <w:rsid w:val="00487309"/>
    <w:rsid w:val="00492A0C"/>
    <w:rsid w:val="00494693"/>
    <w:rsid w:val="004A04F4"/>
    <w:rsid w:val="004A0782"/>
    <w:rsid w:val="004A1396"/>
    <w:rsid w:val="004A39AA"/>
    <w:rsid w:val="004A4A80"/>
    <w:rsid w:val="004A63F4"/>
    <w:rsid w:val="004A6933"/>
    <w:rsid w:val="004B0719"/>
    <w:rsid w:val="004B0E3B"/>
    <w:rsid w:val="004B1660"/>
    <w:rsid w:val="004B3100"/>
    <w:rsid w:val="004B32EE"/>
    <w:rsid w:val="004B3912"/>
    <w:rsid w:val="004B556D"/>
    <w:rsid w:val="004B5E69"/>
    <w:rsid w:val="004B6733"/>
    <w:rsid w:val="004B684C"/>
    <w:rsid w:val="004B716D"/>
    <w:rsid w:val="004C0358"/>
    <w:rsid w:val="004C0D35"/>
    <w:rsid w:val="004C2CE0"/>
    <w:rsid w:val="004C2CEE"/>
    <w:rsid w:val="004C401C"/>
    <w:rsid w:val="004C4D29"/>
    <w:rsid w:val="004C51AE"/>
    <w:rsid w:val="004C601B"/>
    <w:rsid w:val="004C746B"/>
    <w:rsid w:val="004C7969"/>
    <w:rsid w:val="004D013C"/>
    <w:rsid w:val="004D2CDB"/>
    <w:rsid w:val="004D4301"/>
    <w:rsid w:val="004D4CF1"/>
    <w:rsid w:val="004D5A94"/>
    <w:rsid w:val="004D70B9"/>
    <w:rsid w:val="004E04C5"/>
    <w:rsid w:val="004E164C"/>
    <w:rsid w:val="004E233E"/>
    <w:rsid w:val="004E2697"/>
    <w:rsid w:val="004E50F6"/>
    <w:rsid w:val="004E5AE2"/>
    <w:rsid w:val="004E6065"/>
    <w:rsid w:val="004F00C0"/>
    <w:rsid w:val="004F09EC"/>
    <w:rsid w:val="004F0ADE"/>
    <w:rsid w:val="004F1994"/>
    <w:rsid w:val="004F1F4B"/>
    <w:rsid w:val="004F2C71"/>
    <w:rsid w:val="004F3DF0"/>
    <w:rsid w:val="004F42EF"/>
    <w:rsid w:val="004F6594"/>
    <w:rsid w:val="004F685F"/>
    <w:rsid w:val="005004D8"/>
    <w:rsid w:val="00501C82"/>
    <w:rsid w:val="00501F9A"/>
    <w:rsid w:val="00502D70"/>
    <w:rsid w:val="0050449B"/>
    <w:rsid w:val="00510099"/>
    <w:rsid w:val="00511835"/>
    <w:rsid w:val="00511BC4"/>
    <w:rsid w:val="005126EE"/>
    <w:rsid w:val="005128DA"/>
    <w:rsid w:val="00512FCB"/>
    <w:rsid w:val="00520D6E"/>
    <w:rsid w:val="0052378F"/>
    <w:rsid w:val="00523A20"/>
    <w:rsid w:val="00524540"/>
    <w:rsid w:val="00524F0B"/>
    <w:rsid w:val="005257FA"/>
    <w:rsid w:val="00530232"/>
    <w:rsid w:val="0053254E"/>
    <w:rsid w:val="0053374B"/>
    <w:rsid w:val="00533F85"/>
    <w:rsid w:val="00536A41"/>
    <w:rsid w:val="00536E59"/>
    <w:rsid w:val="00540909"/>
    <w:rsid w:val="00540AE8"/>
    <w:rsid w:val="005421E9"/>
    <w:rsid w:val="00542DF3"/>
    <w:rsid w:val="00543337"/>
    <w:rsid w:val="00544AE4"/>
    <w:rsid w:val="00544BA0"/>
    <w:rsid w:val="00546D1B"/>
    <w:rsid w:val="00547605"/>
    <w:rsid w:val="0055026B"/>
    <w:rsid w:val="005508ED"/>
    <w:rsid w:val="00551338"/>
    <w:rsid w:val="00551BD9"/>
    <w:rsid w:val="00554672"/>
    <w:rsid w:val="00554BE0"/>
    <w:rsid w:val="005563A4"/>
    <w:rsid w:val="005575B5"/>
    <w:rsid w:val="00557F40"/>
    <w:rsid w:val="005601AD"/>
    <w:rsid w:val="0056234C"/>
    <w:rsid w:val="005660DF"/>
    <w:rsid w:val="00570538"/>
    <w:rsid w:val="00571BAD"/>
    <w:rsid w:val="00572038"/>
    <w:rsid w:val="0057398C"/>
    <w:rsid w:val="0057421F"/>
    <w:rsid w:val="005744D6"/>
    <w:rsid w:val="0057463B"/>
    <w:rsid w:val="0057469D"/>
    <w:rsid w:val="00574977"/>
    <w:rsid w:val="00575839"/>
    <w:rsid w:val="00575B87"/>
    <w:rsid w:val="00575FC9"/>
    <w:rsid w:val="00577146"/>
    <w:rsid w:val="005823A9"/>
    <w:rsid w:val="00582834"/>
    <w:rsid w:val="00582A45"/>
    <w:rsid w:val="0058469A"/>
    <w:rsid w:val="005854E3"/>
    <w:rsid w:val="0058592F"/>
    <w:rsid w:val="00590069"/>
    <w:rsid w:val="00590842"/>
    <w:rsid w:val="00591161"/>
    <w:rsid w:val="00591607"/>
    <w:rsid w:val="005916C6"/>
    <w:rsid w:val="00592343"/>
    <w:rsid w:val="00592563"/>
    <w:rsid w:val="0059264D"/>
    <w:rsid w:val="00592A6E"/>
    <w:rsid w:val="00593ECD"/>
    <w:rsid w:val="00593EF1"/>
    <w:rsid w:val="00593F25"/>
    <w:rsid w:val="00594577"/>
    <w:rsid w:val="005950B0"/>
    <w:rsid w:val="0059588B"/>
    <w:rsid w:val="00596362"/>
    <w:rsid w:val="005A00AB"/>
    <w:rsid w:val="005A08BC"/>
    <w:rsid w:val="005A0C5D"/>
    <w:rsid w:val="005A1ABB"/>
    <w:rsid w:val="005A1C37"/>
    <w:rsid w:val="005A2148"/>
    <w:rsid w:val="005A4583"/>
    <w:rsid w:val="005A72FA"/>
    <w:rsid w:val="005B15E8"/>
    <w:rsid w:val="005B3819"/>
    <w:rsid w:val="005B3AA8"/>
    <w:rsid w:val="005B3F4C"/>
    <w:rsid w:val="005B4176"/>
    <w:rsid w:val="005B5025"/>
    <w:rsid w:val="005B5721"/>
    <w:rsid w:val="005B7434"/>
    <w:rsid w:val="005B750C"/>
    <w:rsid w:val="005B7A0D"/>
    <w:rsid w:val="005C06C5"/>
    <w:rsid w:val="005C37DE"/>
    <w:rsid w:val="005C39DE"/>
    <w:rsid w:val="005C3B0B"/>
    <w:rsid w:val="005C5E36"/>
    <w:rsid w:val="005C7188"/>
    <w:rsid w:val="005D07D6"/>
    <w:rsid w:val="005D157F"/>
    <w:rsid w:val="005D3554"/>
    <w:rsid w:val="005D3BB4"/>
    <w:rsid w:val="005D45DB"/>
    <w:rsid w:val="005D6EA3"/>
    <w:rsid w:val="005E0BFB"/>
    <w:rsid w:val="005E1ED3"/>
    <w:rsid w:val="005E23A6"/>
    <w:rsid w:val="005E45EC"/>
    <w:rsid w:val="005E4BB6"/>
    <w:rsid w:val="005F0241"/>
    <w:rsid w:val="005F0B40"/>
    <w:rsid w:val="005F0C7B"/>
    <w:rsid w:val="005F10E2"/>
    <w:rsid w:val="005F18B4"/>
    <w:rsid w:val="005F2A62"/>
    <w:rsid w:val="005F36DF"/>
    <w:rsid w:val="005F3970"/>
    <w:rsid w:val="005F5FE0"/>
    <w:rsid w:val="006004CB"/>
    <w:rsid w:val="00600537"/>
    <w:rsid w:val="00600DB9"/>
    <w:rsid w:val="00603243"/>
    <w:rsid w:val="0060456C"/>
    <w:rsid w:val="00606927"/>
    <w:rsid w:val="006073CC"/>
    <w:rsid w:val="0061022F"/>
    <w:rsid w:val="006108DD"/>
    <w:rsid w:val="00610B7D"/>
    <w:rsid w:val="00610EDE"/>
    <w:rsid w:val="00612169"/>
    <w:rsid w:val="00612749"/>
    <w:rsid w:val="006132D1"/>
    <w:rsid w:val="00614FBC"/>
    <w:rsid w:val="006170AF"/>
    <w:rsid w:val="00617A72"/>
    <w:rsid w:val="006205CF"/>
    <w:rsid w:val="00622659"/>
    <w:rsid w:val="006227EB"/>
    <w:rsid w:val="006229AC"/>
    <w:rsid w:val="00627935"/>
    <w:rsid w:val="00630020"/>
    <w:rsid w:val="00630FDA"/>
    <w:rsid w:val="006330E5"/>
    <w:rsid w:val="00633ED6"/>
    <w:rsid w:val="00634E7D"/>
    <w:rsid w:val="00635A90"/>
    <w:rsid w:val="00637248"/>
    <w:rsid w:val="0063767F"/>
    <w:rsid w:val="0063788C"/>
    <w:rsid w:val="00640A53"/>
    <w:rsid w:val="006414FB"/>
    <w:rsid w:val="0064178A"/>
    <w:rsid w:val="00642BD2"/>
    <w:rsid w:val="0064412B"/>
    <w:rsid w:val="00644FCD"/>
    <w:rsid w:val="0064519E"/>
    <w:rsid w:val="00645A4A"/>
    <w:rsid w:val="00646046"/>
    <w:rsid w:val="00647417"/>
    <w:rsid w:val="006476B8"/>
    <w:rsid w:val="006479C9"/>
    <w:rsid w:val="00650A64"/>
    <w:rsid w:val="006511E5"/>
    <w:rsid w:val="00652863"/>
    <w:rsid w:val="006532BF"/>
    <w:rsid w:val="006547EC"/>
    <w:rsid w:val="00655D9B"/>
    <w:rsid w:val="006576FC"/>
    <w:rsid w:val="006578A6"/>
    <w:rsid w:val="00661B94"/>
    <w:rsid w:val="006632E6"/>
    <w:rsid w:val="00664886"/>
    <w:rsid w:val="00664F13"/>
    <w:rsid w:val="006655FC"/>
    <w:rsid w:val="00665608"/>
    <w:rsid w:val="00665894"/>
    <w:rsid w:val="00665AA0"/>
    <w:rsid w:val="0066627B"/>
    <w:rsid w:val="006701D3"/>
    <w:rsid w:val="006708D4"/>
    <w:rsid w:val="00672381"/>
    <w:rsid w:val="00672883"/>
    <w:rsid w:val="00674A45"/>
    <w:rsid w:val="006771B1"/>
    <w:rsid w:val="00677B0E"/>
    <w:rsid w:val="0068035E"/>
    <w:rsid w:val="00680592"/>
    <w:rsid w:val="006808CD"/>
    <w:rsid w:val="00680CA7"/>
    <w:rsid w:val="0068127E"/>
    <w:rsid w:val="006818C9"/>
    <w:rsid w:val="00684795"/>
    <w:rsid w:val="00684B22"/>
    <w:rsid w:val="00684F5B"/>
    <w:rsid w:val="00685334"/>
    <w:rsid w:val="0068746D"/>
    <w:rsid w:val="0069137D"/>
    <w:rsid w:val="006916D6"/>
    <w:rsid w:val="00691E45"/>
    <w:rsid w:val="006929FC"/>
    <w:rsid w:val="006942F9"/>
    <w:rsid w:val="006944FF"/>
    <w:rsid w:val="00695DC2"/>
    <w:rsid w:val="00696D55"/>
    <w:rsid w:val="00697797"/>
    <w:rsid w:val="006979BF"/>
    <w:rsid w:val="006A06A7"/>
    <w:rsid w:val="006A0B94"/>
    <w:rsid w:val="006A1F84"/>
    <w:rsid w:val="006A2B3C"/>
    <w:rsid w:val="006A51A0"/>
    <w:rsid w:val="006A5D29"/>
    <w:rsid w:val="006A7327"/>
    <w:rsid w:val="006B044D"/>
    <w:rsid w:val="006B07EA"/>
    <w:rsid w:val="006B11E9"/>
    <w:rsid w:val="006B1FCE"/>
    <w:rsid w:val="006B24C7"/>
    <w:rsid w:val="006B29B9"/>
    <w:rsid w:val="006B2D98"/>
    <w:rsid w:val="006B6733"/>
    <w:rsid w:val="006B7778"/>
    <w:rsid w:val="006B7FCF"/>
    <w:rsid w:val="006C029C"/>
    <w:rsid w:val="006C0B62"/>
    <w:rsid w:val="006C14B5"/>
    <w:rsid w:val="006C305C"/>
    <w:rsid w:val="006C3491"/>
    <w:rsid w:val="006C39F5"/>
    <w:rsid w:val="006C3A44"/>
    <w:rsid w:val="006C4747"/>
    <w:rsid w:val="006C4DA1"/>
    <w:rsid w:val="006C6260"/>
    <w:rsid w:val="006C7442"/>
    <w:rsid w:val="006D00C6"/>
    <w:rsid w:val="006D07B6"/>
    <w:rsid w:val="006D3268"/>
    <w:rsid w:val="006D483E"/>
    <w:rsid w:val="006D585A"/>
    <w:rsid w:val="006D705C"/>
    <w:rsid w:val="006E1BE2"/>
    <w:rsid w:val="006E1D48"/>
    <w:rsid w:val="006E2382"/>
    <w:rsid w:val="006E4CAC"/>
    <w:rsid w:val="006E59D6"/>
    <w:rsid w:val="006E5EE8"/>
    <w:rsid w:val="006E6AAF"/>
    <w:rsid w:val="006E6BBB"/>
    <w:rsid w:val="006F05E0"/>
    <w:rsid w:val="006F1370"/>
    <w:rsid w:val="006F1501"/>
    <w:rsid w:val="006F223A"/>
    <w:rsid w:val="006F2939"/>
    <w:rsid w:val="006F3820"/>
    <w:rsid w:val="00703596"/>
    <w:rsid w:val="007037EB"/>
    <w:rsid w:val="0070566F"/>
    <w:rsid w:val="007057C6"/>
    <w:rsid w:val="00705C84"/>
    <w:rsid w:val="00705D76"/>
    <w:rsid w:val="00706877"/>
    <w:rsid w:val="00707D19"/>
    <w:rsid w:val="007105E5"/>
    <w:rsid w:val="00710E33"/>
    <w:rsid w:val="00710FDA"/>
    <w:rsid w:val="00713ADE"/>
    <w:rsid w:val="007145AA"/>
    <w:rsid w:val="00714AD4"/>
    <w:rsid w:val="00714DF0"/>
    <w:rsid w:val="00714EB0"/>
    <w:rsid w:val="00715381"/>
    <w:rsid w:val="00715B4F"/>
    <w:rsid w:val="00715E63"/>
    <w:rsid w:val="00716079"/>
    <w:rsid w:val="00716C5F"/>
    <w:rsid w:val="007172B5"/>
    <w:rsid w:val="007226BD"/>
    <w:rsid w:val="00723236"/>
    <w:rsid w:val="0072371E"/>
    <w:rsid w:val="0072414D"/>
    <w:rsid w:val="00727694"/>
    <w:rsid w:val="00732661"/>
    <w:rsid w:val="00733B22"/>
    <w:rsid w:val="00733E8E"/>
    <w:rsid w:val="00735887"/>
    <w:rsid w:val="007374AE"/>
    <w:rsid w:val="00737511"/>
    <w:rsid w:val="00740058"/>
    <w:rsid w:val="007409EE"/>
    <w:rsid w:val="0074132E"/>
    <w:rsid w:val="00742066"/>
    <w:rsid w:val="007438B4"/>
    <w:rsid w:val="00744C81"/>
    <w:rsid w:val="00751BF9"/>
    <w:rsid w:val="00754B91"/>
    <w:rsid w:val="007556D6"/>
    <w:rsid w:val="00757F7E"/>
    <w:rsid w:val="00760FF9"/>
    <w:rsid w:val="00761244"/>
    <w:rsid w:val="00762091"/>
    <w:rsid w:val="00762287"/>
    <w:rsid w:val="00762485"/>
    <w:rsid w:val="0076522A"/>
    <w:rsid w:val="00765615"/>
    <w:rsid w:val="00765A35"/>
    <w:rsid w:val="00765FBA"/>
    <w:rsid w:val="00766219"/>
    <w:rsid w:val="0076669A"/>
    <w:rsid w:val="0076674B"/>
    <w:rsid w:val="00766C3F"/>
    <w:rsid w:val="007706BD"/>
    <w:rsid w:val="007724CE"/>
    <w:rsid w:val="007743DA"/>
    <w:rsid w:val="007748AB"/>
    <w:rsid w:val="00777186"/>
    <w:rsid w:val="0077755D"/>
    <w:rsid w:val="007775B4"/>
    <w:rsid w:val="00781405"/>
    <w:rsid w:val="007824BB"/>
    <w:rsid w:val="0078261B"/>
    <w:rsid w:val="00784BA6"/>
    <w:rsid w:val="00785B95"/>
    <w:rsid w:val="00785EC0"/>
    <w:rsid w:val="00787EF7"/>
    <w:rsid w:val="00791A27"/>
    <w:rsid w:val="0079342B"/>
    <w:rsid w:val="00794AD8"/>
    <w:rsid w:val="00794C7A"/>
    <w:rsid w:val="00794E77"/>
    <w:rsid w:val="0079775D"/>
    <w:rsid w:val="007A40A1"/>
    <w:rsid w:val="007A4819"/>
    <w:rsid w:val="007A50D8"/>
    <w:rsid w:val="007A528E"/>
    <w:rsid w:val="007A69CB"/>
    <w:rsid w:val="007A7844"/>
    <w:rsid w:val="007B0CE1"/>
    <w:rsid w:val="007B20E7"/>
    <w:rsid w:val="007B5119"/>
    <w:rsid w:val="007B662A"/>
    <w:rsid w:val="007B7B0E"/>
    <w:rsid w:val="007C0363"/>
    <w:rsid w:val="007C07FF"/>
    <w:rsid w:val="007C1BB5"/>
    <w:rsid w:val="007C2B29"/>
    <w:rsid w:val="007C2E04"/>
    <w:rsid w:val="007C47E1"/>
    <w:rsid w:val="007C5E07"/>
    <w:rsid w:val="007C624F"/>
    <w:rsid w:val="007C660F"/>
    <w:rsid w:val="007C6D17"/>
    <w:rsid w:val="007C7611"/>
    <w:rsid w:val="007C7AB7"/>
    <w:rsid w:val="007D06B6"/>
    <w:rsid w:val="007D33E7"/>
    <w:rsid w:val="007D4E7D"/>
    <w:rsid w:val="007D4FEB"/>
    <w:rsid w:val="007D5A1C"/>
    <w:rsid w:val="007D70B2"/>
    <w:rsid w:val="007E172C"/>
    <w:rsid w:val="007E37A6"/>
    <w:rsid w:val="007E424F"/>
    <w:rsid w:val="007E43EF"/>
    <w:rsid w:val="007E4F4C"/>
    <w:rsid w:val="007E50AF"/>
    <w:rsid w:val="007E57BD"/>
    <w:rsid w:val="007E610C"/>
    <w:rsid w:val="007E755B"/>
    <w:rsid w:val="007E7C92"/>
    <w:rsid w:val="007F06BD"/>
    <w:rsid w:val="007F22F5"/>
    <w:rsid w:val="007F23AF"/>
    <w:rsid w:val="007F2C24"/>
    <w:rsid w:val="007F380B"/>
    <w:rsid w:val="0080022D"/>
    <w:rsid w:val="008012DD"/>
    <w:rsid w:val="008033A6"/>
    <w:rsid w:val="008060F1"/>
    <w:rsid w:val="008073DE"/>
    <w:rsid w:val="0080779D"/>
    <w:rsid w:val="00807BE3"/>
    <w:rsid w:val="008108AD"/>
    <w:rsid w:val="00810B5A"/>
    <w:rsid w:val="00813C5C"/>
    <w:rsid w:val="00813CE2"/>
    <w:rsid w:val="00814255"/>
    <w:rsid w:val="008146D3"/>
    <w:rsid w:val="00815669"/>
    <w:rsid w:val="008167B5"/>
    <w:rsid w:val="0081721E"/>
    <w:rsid w:val="00822764"/>
    <w:rsid w:val="00822B31"/>
    <w:rsid w:val="008240FA"/>
    <w:rsid w:val="00825C91"/>
    <w:rsid w:val="008273A8"/>
    <w:rsid w:val="00827490"/>
    <w:rsid w:val="0083060A"/>
    <w:rsid w:val="008316FD"/>
    <w:rsid w:val="00831714"/>
    <w:rsid w:val="00832262"/>
    <w:rsid w:val="008351F4"/>
    <w:rsid w:val="008374D9"/>
    <w:rsid w:val="00837BBF"/>
    <w:rsid w:val="00837DB4"/>
    <w:rsid w:val="008401CB"/>
    <w:rsid w:val="008427CD"/>
    <w:rsid w:val="00842852"/>
    <w:rsid w:val="0084294C"/>
    <w:rsid w:val="00842D28"/>
    <w:rsid w:val="008448E8"/>
    <w:rsid w:val="0084543A"/>
    <w:rsid w:val="008454CC"/>
    <w:rsid w:val="008510BF"/>
    <w:rsid w:val="00852353"/>
    <w:rsid w:val="00853367"/>
    <w:rsid w:val="00853FB0"/>
    <w:rsid w:val="0085480C"/>
    <w:rsid w:val="0085486A"/>
    <w:rsid w:val="0085494A"/>
    <w:rsid w:val="008551E5"/>
    <w:rsid w:val="0085530C"/>
    <w:rsid w:val="00857021"/>
    <w:rsid w:val="00857288"/>
    <w:rsid w:val="00860761"/>
    <w:rsid w:val="008616A2"/>
    <w:rsid w:val="008618B1"/>
    <w:rsid w:val="00862646"/>
    <w:rsid w:val="00862C0A"/>
    <w:rsid w:val="008650FE"/>
    <w:rsid w:val="00866CE1"/>
    <w:rsid w:val="0086724B"/>
    <w:rsid w:val="00867485"/>
    <w:rsid w:val="00867E43"/>
    <w:rsid w:val="00867FC7"/>
    <w:rsid w:val="00870561"/>
    <w:rsid w:val="00870EA0"/>
    <w:rsid w:val="008717D9"/>
    <w:rsid w:val="00872317"/>
    <w:rsid w:val="00872411"/>
    <w:rsid w:val="008733B6"/>
    <w:rsid w:val="0087346B"/>
    <w:rsid w:val="008734EC"/>
    <w:rsid w:val="00874CC8"/>
    <w:rsid w:val="00875520"/>
    <w:rsid w:val="00875882"/>
    <w:rsid w:val="008767BB"/>
    <w:rsid w:val="00877DBF"/>
    <w:rsid w:val="00877EF7"/>
    <w:rsid w:val="00877EFB"/>
    <w:rsid w:val="00881906"/>
    <w:rsid w:val="00884200"/>
    <w:rsid w:val="008848A7"/>
    <w:rsid w:val="008851CA"/>
    <w:rsid w:val="008858DD"/>
    <w:rsid w:val="008864AE"/>
    <w:rsid w:val="008929D5"/>
    <w:rsid w:val="0089335B"/>
    <w:rsid w:val="0089400B"/>
    <w:rsid w:val="00896AFE"/>
    <w:rsid w:val="008A0094"/>
    <w:rsid w:val="008A1DDD"/>
    <w:rsid w:val="008A40D4"/>
    <w:rsid w:val="008A56C5"/>
    <w:rsid w:val="008A643C"/>
    <w:rsid w:val="008A6980"/>
    <w:rsid w:val="008A6A3F"/>
    <w:rsid w:val="008A78E9"/>
    <w:rsid w:val="008B0E84"/>
    <w:rsid w:val="008B3903"/>
    <w:rsid w:val="008B3E04"/>
    <w:rsid w:val="008B477F"/>
    <w:rsid w:val="008B5085"/>
    <w:rsid w:val="008B5478"/>
    <w:rsid w:val="008B6B70"/>
    <w:rsid w:val="008C005D"/>
    <w:rsid w:val="008C01FD"/>
    <w:rsid w:val="008C0EDC"/>
    <w:rsid w:val="008C234C"/>
    <w:rsid w:val="008C255F"/>
    <w:rsid w:val="008D095B"/>
    <w:rsid w:val="008D170D"/>
    <w:rsid w:val="008D2171"/>
    <w:rsid w:val="008D306E"/>
    <w:rsid w:val="008D3E2C"/>
    <w:rsid w:val="008D4AC1"/>
    <w:rsid w:val="008D6B59"/>
    <w:rsid w:val="008D6F58"/>
    <w:rsid w:val="008E23D5"/>
    <w:rsid w:val="008E283B"/>
    <w:rsid w:val="008E3013"/>
    <w:rsid w:val="008E321F"/>
    <w:rsid w:val="008E4BF7"/>
    <w:rsid w:val="008E76A1"/>
    <w:rsid w:val="008E7C7D"/>
    <w:rsid w:val="008F1002"/>
    <w:rsid w:val="008F10C4"/>
    <w:rsid w:val="008F47A2"/>
    <w:rsid w:val="008F723E"/>
    <w:rsid w:val="009019F6"/>
    <w:rsid w:val="00901AF1"/>
    <w:rsid w:val="009020B9"/>
    <w:rsid w:val="00902186"/>
    <w:rsid w:val="0090306B"/>
    <w:rsid w:val="00903813"/>
    <w:rsid w:val="009053B1"/>
    <w:rsid w:val="00905644"/>
    <w:rsid w:val="00905AF8"/>
    <w:rsid w:val="00906AA8"/>
    <w:rsid w:val="00907529"/>
    <w:rsid w:val="00907D99"/>
    <w:rsid w:val="00911062"/>
    <w:rsid w:val="009114C6"/>
    <w:rsid w:val="00911500"/>
    <w:rsid w:val="009119BB"/>
    <w:rsid w:val="00912507"/>
    <w:rsid w:val="009131B3"/>
    <w:rsid w:val="00914074"/>
    <w:rsid w:val="00914438"/>
    <w:rsid w:val="009144D9"/>
    <w:rsid w:val="00916A65"/>
    <w:rsid w:val="00916A7F"/>
    <w:rsid w:val="009177FA"/>
    <w:rsid w:val="00917F6A"/>
    <w:rsid w:val="00920076"/>
    <w:rsid w:val="009231D0"/>
    <w:rsid w:val="009239CB"/>
    <w:rsid w:val="00923BE3"/>
    <w:rsid w:val="009252CC"/>
    <w:rsid w:val="00925953"/>
    <w:rsid w:val="00925AAD"/>
    <w:rsid w:val="00926A21"/>
    <w:rsid w:val="00927F4C"/>
    <w:rsid w:val="00931100"/>
    <w:rsid w:val="0093115D"/>
    <w:rsid w:val="00931E7D"/>
    <w:rsid w:val="00933A5F"/>
    <w:rsid w:val="0093498D"/>
    <w:rsid w:val="00936408"/>
    <w:rsid w:val="00936B8E"/>
    <w:rsid w:val="00937B28"/>
    <w:rsid w:val="00941330"/>
    <w:rsid w:val="009441CE"/>
    <w:rsid w:val="009461E7"/>
    <w:rsid w:val="00946410"/>
    <w:rsid w:val="00946CC3"/>
    <w:rsid w:val="00947ADE"/>
    <w:rsid w:val="009506FA"/>
    <w:rsid w:val="00950A26"/>
    <w:rsid w:val="009512FD"/>
    <w:rsid w:val="00951CCB"/>
    <w:rsid w:val="009528A3"/>
    <w:rsid w:val="0095605C"/>
    <w:rsid w:val="00956F8E"/>
    <w:rsid w:val="009574B4"/>
    <w:rsid w:val="00961D9F"/>
    <w:rsid w:val="00963D83"/>
    <w:rsid w:val="00964331"/>
    <w:rsid w:val="00965349"/>
    <w:rsid w:val="00966842"/>
    <w:rsid w:val="009732CC"/>
    <w:rsid w:val="00973C50"/>
    <w:rsid w:val="0097417F"/>
    <w:rsid w:val="00974728"/>
    <w:rsid w:val="00974DA5"/>
    <w:rsid w:val="0097507B"/>
    <w:rsid w:val="00975D12"/>
    <w:rsid w:val="00976D5E"/>
    <w:rsid w:val="0098046C"/>
    <w:rsid w:val="00981295"/>
    <w:rsid w:val="009855CA"/>
    <w:rsid w:val="00985FED"/>
    <w:rsid w:val="00986DA6"/>
    <w:rsid w:val="00987855"/>
    <w:rsid w:val="00987DD7"/>
    <w:rsid w:val="00990507"/>
    <w:rsid w:val="00993A40"/>
    <w:rsid w:val="0099532A"/>
    <w:rsid w:val="00995F7D"/>
    <w:rsid w:val="00996151"/>
    <w:rsid w:val="009A00F0"/>
    <w:rsid w:val="009A0232"/>
    <w:rsid w:val="009A0DE0"/>
    <w:rsid w:val="009A1554"/>
    <w:rsid w:val="009A1C02"/>
    <w:rsid w:val="009A1E94"/>
    <w:rsid w:val="009A2FDE"/>
    <w:rsid w:val="009A6AFD"/>
    <w:rsid w:val="009B079B"/>
    <w:rsid w:val="009B30AA"/>
    <w:rsid w:val="009B39A3"/>
    <w:rsid w:val="009B4482"/>
    <w:rsid w:val="009B5040"/>
    <w:rsid w:val="009B63C6"/>
    <w:rsid w:val="009B6E3B"/>
    <w:rsid w:val="009B70EB"/>
    <w:rsid w:val="009B7435"/>
    <w:rsid w:val="009C035C"/>
    <w:rsid w:val="009C212D"/>
    <w:rsid w:val="009C3F60"/>
    <w:rsid w:val="009C5A7F"/>
    <w:rsid w:val="009C61CB"/>
    <w:rsid w:val="009D02CF"/>
    <w:rsid w:val="009D0CC8"/>
    <w:rsid w:val="009D18D1"/>
    <w:rsid w:val="009D23A1"/>
    <w:rsid w:val="009D2CDB"/>
    <w:rsid w:val="009D30B5"/>
    <w:rsid w:val="009D3DDA"/>
    <w:rsid w:val="009D3DFB"/>
    <w:rsid w:val="009D5C39"/>
    <w:rsid w:val="009D6E06"/>
    <w:rsid w:val="009D7858"/>
    <w:rsid w:val="009E0595"/>
    <w:rsid w:val="009E0798"/>
    <w:rsid w:val="009E3562"/>
    <w:rsid w:val="009E3C21"/>
    <w:rsid w:val="009E50D6"/>
    <w:rsid w:val="009E574E"/>
    <w:rsid w:val="009E6CCE"/>
    <w:rsid w:val="009E71D3"/>
    <w:rsid w:val="009E7EFB"/>
    <w:rsid w:val="009F0735"/>
    <w:rsid w:val="009F0A0C"/>
    <w:rsid w:val="009F0C1C"/>
    <w:rsid w:val="009F15D5"/>
    <w:rsid w:val="009F3381"/>
    <w:rsid w:val="009F5855"/>
    <w:rsid w:val="009F5A7B"/>
    <w:rsid w:val="009F7BC9"/>
    <w:rsid w:val="00A00A72"/>
    <w:rsid w:val="00A03975"/>
    <w:rsid w:val="00A04820"/>
    <w:rsid w:val="00A049FA"/>
    <w:rsid w:val="00A052D4"/>
    <w:rsid w:val="00A11894"/>
    <w:rsid w:val="00A141CD"/>
    <w:rsid w:val="00A15DBC"/>
    <w:rsid w:val="00A15E6D"/>
    <w:rsid w:val="00A163EF"/>
    <w:rsid w:val="00A20E2B"/>
    <w:rsid w:val="00A21311"/>
    <w:rsid w:val="00A216EA"/>
    <w:rsid w:val="00A22EDE"/>
    <w:rsid w:val="00A23DC4"/>
    <w:rsid w:val="00A25EDA"/>
    <w:rsid w:val="00A26CF4"/>
    <w:rsid w:val="00A27A62"/>
    <w:rsid w:val="00A30FD6"/>
    <w:rsid w:val="00A32C1B"/>
    <w:rsid w:val="00A32E8C"/>
    <w:rsid w:val="00A33070"/>
    <w:rsid w:val="00A34836"/>
    <w:rsid w:val="00A352D5"/>
    <w:rsid w:val="00A35C4F"/>
    <w:rsid w:val="00A3679F"/>
    <w:rsid w:val="00A36FA1"/>
    <w:rsid w:val="00A3737E"/>
    <w:rsid w:val="00A402BE"/>
    <w:rsid w:val="00A41154"/>
    <w:rsid w:val="00A411DD"/>
    <w:rsid w:val="00A41486"/>
    <w:rsid w:val="00A45749"/>
    <w:rsid w:val="00A4630B"/>
    <w:rsid w:val="00A47733"/>
    <w:rsid w:val="00A509B4"/>
    <w:rsid w:val="00A51728"/>
    <w:rsid w:val="00A51E38"/>
    <w:rsid w:val="00A52017"/>
    <w:rsid w:val="00A52535"/>
    <w:rsid w:val="00A52A10"/>
    <w:rsid w:val="00A53D92"/>
    <w:rsid w:val="00A55431"/>
    <w:rsid w:val="00A55B32"/>
    <w:rsid w:val="00A56822"/>
    <w:rsid w:val="00A57066"/>
    <w:rsid w:val="00A60F1A"/>
    <w:rsid w:val="00A611B3"/>
    <w:rsid w:val="00A614B8"/>
    <w:rsid w:val="00A61CF2"/>
    <w:rsid w:val="00A62A82"/>
    <w:rsid w:val="00A63D33"/>
    <w:rsid w:val="00A64A8A"/>
    <w:rsid w:val="00A64E07"/>
    <w:rsid w:val="00A65FEF"/>
    <w:rsid w:val="00A67249"/>
    <w:rsid w:val="00A67806"/>
    <w:rsid w:val="00A70621"/>
    <w:rsid w:val="00A72727"/>
    <w:rsid w:val="00A73066"/>
    <w:rsid w:val="00A73CB5"/>
    <w:rsid w:val="00A7621F"/>
    <w:rsid w:val="00A76E15"/>
    <w:rsid w:val="00A76F1F"/>
    <w:rsid w:val="00A770F1"/>
    <w:rsid w:val="00A80DC4"/>
    <w:rsid w:val="00A80F33"/>
    <w:rsid w:val="00A82F23"/>
    <w:rsid w:val="00A841D1"/>
    <w:rsid w:val="00A846A2"/>
    <w:rsid w:val="00A85682"/>
    <w:rsid w:val="00A87221"/>
    <w:rsid w:val="00A9044A"/>
    <w:rsid w:val="00A92254"/>
    <w:rsid w:val="00A92CC9"/>
    <w:rsid w:val="00A93406"/>
    <w:rsid w:val="00A93E2D"/>
    <w:rsid w:val="00A93E91"/>
    <w:rsid w:val="00A94C8B"/>
    <w:rsid w:val="00A95F3B"/>
    <w:rsid w:val="00A96A85"/>
    <w:rsid w:val="00A96B8E"/>
    <w:rsid w:val="00A97AE7"/>
    <w:rsid w:val="00AA15F9"/>
    <w:rsid w:val="00AA198C"/>
    <w:rsid w:val="00AA19B1"/>
    <w:rsid w:val="00AA206F"/>
    <w:rsid w:val="00AA2FBA"/>
    <w:rsid w:val="00AA30D2"/>
    <w:rsid w:val="00AA3677"/>
    <w:rsid w:val="00AA5855"/>
    <w:rsid w:val="00AA5DE8"/>
    <w:rsid w:val="00AA5E0A"/>
    <w:rsid w:val="00AA6098"/>
    <w:rsid w:val="00AA62D1"/>
    <w:rsid w:val="00AA6AA6"/>
    <w:rsid w:val="00AA7122"/>
    <w:rsid w:val="00AB1212"/>
    <w:rsid w:val="00AB1475"/>
    <w:rsid w:val="00AB183A"/>
    <w:rsid w:val="00AB237E"/>
    <w:rsid w:val="00AB3183"/>
    <w:rsid w:val="00AB3201"/>
    <w:rsid w:val="00AB33AB"/>
    <w:rsid w:val="00AB4027"/>
    <w:rsid w:val="00AB5518"/>
    <w:rsid w:val="00AB5604"/>
    <w:rsid w:val="00AB5AA3"/>
    <w:rsid w:val="00AB7D8A"/>
    <w:rsid w:val="00AC0461"/>
    <w:rsid w:val="00AC2308"/>
    <w:rsid w:val="00AC2B5C"/>
    <w:rsid w:val="00AC3B2D"/>
    <w:rsid w:val="00AC723A"/>
    <w:rsid w:val="00AC7C4D"/>
    <w:rsid w:val="00AD0332"/>
    <w:rsid w:val="00AD1F1F"/>
    <w:rsid w:val="00AD34C6"/>
    <w:rsid w:val="00AD3903"/>
    <w:rsid w:val="00AD3F8B"/>
    <w:rsid w:val="00AD4E8E"/>
    <w:rsid w:val="00AD5DA8"/>
    <w:rsid w:val="00AD6125"/>
    <w:rsid w:val="00AD646F"/>
    <w:rsid w:val="00AD769F"/>
    <w:rsid w:val="00AD7CEC"/>
    <w:rsid w:val="00AD7FA8"/>
    <w:rsid w:val="00AD7FC0"/>
    <w:rsid w:val="00AE2EE5"/>
    <w:rsid w:val="00AE33CC"/>
    <w:rsid w:val="00AE48DE"/>
    <w:rsid w:val="00AE51C0"/>
    <w:rsid w:val="00AE5604"/>
    <w:rsid w:val="00AF090B"/>
    <w:rsid w:val="00AF16DD"/>
    <w:rsid w:val="00AF3742"/>
    <w:rsid w:val="00AF38CA"/>
    <w:rsid w:val="00AF40B2"/>
    <w:rsid w:val="00AF588E"/>
    <w:rsid w:val="00AF6AC0"/>
    <w:rsid w:val="00AF7485"/>
    <w:rsid w:val="00B03E03"/>
    <w:rsid w:val="00B06CF7"/>
    <w:rsid w:val="00B07F94"/>
    <w:rsid w:val="00B11334"/>
    <w:rsid w:val="00B1280C"/>
    <w:rsid w:val="00B12B99"/>
    <w:rsid w:val="00B1330D"/>
    <w:rsid w:val="00B1464B"/>
    <w:rsid w:val="00B1475D"/>
    <w:rsid w:val="00B14DCA"/>
    <w:rsid w:val="00B1554D"/>
    <w:rsid w:val="00B15733"/>
    <w:rsid w:val="00B21791"/>
    <w:rsid w:val="00B22891"/>
    <w:rsid w:val="00B23216"/>
    <w:rsid w:val="00B24866"/>
    <w:rsid w:val="00B24C82"/>
    <w:rsid w:val="00B30F08"/>
    <w:rsid w:val="00B325B5"/>
    <w:rsid w:val="00B32A43"/>
    <w:rsid w:val="00B33A61"/>
    <w:rsid w:val="00B33B3F"/>
    <w:rsid w:val="00B33FCD"/>
    <w:rsid w:val="00B340D6"/>
    <w:rsid w:val="00B36138"/>
    <w:rsid w:val="00B36ECC"/>
    <w:rsid w:val="00B3732D"/>
    <w:rsid w:val="00B37C9D"/>
    <w:rsid w:val="00B40CEC"/>
    <w:rsid w:val="00B41D82"/>
    <w:rsid w:val="00B453CB"/>
    <w:rsid w:val="00B45400"/>
    <w:rsid w:val="00B45954"/>
    <w:rsid w:val="00B45FA6"/>
    <w:rsid w:val="00B46490"/>
    <w:rsid w:val="00B465C0"/>
    <w:rsid w:val="00B47534"/>
    <w:rsid w:val="00B50172"/>
    <w:rsid w:val="00B508AE"/>
    <w:rsid w:val="00B50C0A"/>
    <w:rsid w:val="00B51552"/>
    <w:rsid w:val="00B519CA"/>
    <w:rsid w:val="00B519E6"/>
    <w:rsid w:val="00B51C3D"/>
    <w:rsid w:val="00B5236F"/>
    <w:rsid w:val="00B53E78"/>
    <w:rsid w:val="00B53F0C"/>
    <w:rsid w:val="00B54BA2"/>
    <w:rsid w:val="00B54DB1"/>
    <w:rsid w:val="00B563BA"/>
    <w:rsid w:val="00B56498"/>
    <w:rsid w:val="00B57D81"/>
    <w:rsid w:val="00B601C0"/>
    <w:rsid w:val="00B6202C"/>
    <w:rsid w:val="00B623ED"/>
    <w:rsid w:val="00B62E43"/>
    <w:rsid w:val="00B63C59"/>
    <w:rsid w:val="00B64B9C"/>
    <w:rsid w:val="00B65A87"/>
    <w:rsid w:val="00B66200"/>
    <w:rsid w:val="00B70AD0"/>
    <w:rsid w:val="00B70E4A"/>
    <w:rsid w:val="00B72B7C"/>
    <w:rsid w:val="00B73798"/>
    <w:rsid w:val="00B73FF7"/>
    <w:rsid w:val="00B746E7"/>
    <w:rsid w:val="00B74FCD"/>
    <w:rsid w:val="00B75C22"/>
    <w:rsid w:val="00B767F1"/>
    <w:rsid w:val="00B77696"/>
    <w:rsid w:val="00B779D2"/>
    <w:rsid w:val="00B81B90"/>
    <w:rsid w:val="00B82B5A"/>
    <w:rsid w:val="00B82D53"/>
    <w:rsid w:val="00B82F6A"/>
    <w:rsid w:val="00B83215"/>
    <w:rsid w:val="00B83E4F"/>
    <w:rsid w:val="00B850E2"/>
    <w:rsid w:val="00B85384"/>
    <w:rsid w:val="00B85467"/>
    <w:rsid w:val="00B8691E"/>
    <w:rsid w:val="00B87564"/>
    <w:rsid w:val="00B875A5"/>
    <w:rsid w:val="00B879C7"/>
    <w:rsid w:val="00B87FCC"/>
    <w:rsid w:val="00B91C67"/>
    <w:rsid w:val="00B923C9"/>
    <w:rsid w:val="00B929E1"/>
    <w:rsid w:val="00B92EA8"/>
    <w:rsid w:val="00B939B5"/>
    <w:rsid w:val="00B93E9F"/>
    <w:rsid w:val="00B940C7"/>
    <w:rsid w:val="00B95E3F"/>
    <w:rsid w:val="00B96241"/>
    <w:rsid w:val="00B96D52"/>
    <w:rsid w:val="00BA0440"/>
    <w:rsid w:val="00BA0CB6"/>
    <w:rsid w:val="00BA0DD5"/>
    <w:rsid w:val="00BA1BE8"/>
    <w:rsid w:val="00BA233B"/>
    <w:rsid w:val="00BA3B17"/>
    <w:rsid w:val="00BA3EEF"/>
    <w:rsid w:val="00BA66AC"/>
    <w:rsid w:val="00BA7FA0"/>
    <w:rsid w:val="00BB1C21"/>
    <w:rsid w:val="00BB5B65"/>
    <w:rsid w:val="00BC2267"/>
    <w:rsid w:val="00BC32FA"/>
    <w:rsid w:val="00BC330C"/>
    <w:rsid w:val="00BC36F2"/>
    <w:rsid w:val="00BC3A00"/>
    <w:rsid w:val="00BC6611"/>
    <w:rsid w:val="00BC6CB2"/>
    <w:rsid w:val="00BC7909"/>
    <w:rsid w:val="00BD000B"/>
    <w:rsid w:val="00BD0593"/>
    <w:rsid w:val="00BD3FB2"/>
    <w:rsid w:val="00BD4080"/>
    <w:rsid w:val="00BD43DD"/>
    <w:rsid w:val="00BD492C"/>
    <w:rsid w:val="00BD668D"/>
    <w:rsid w:val="00BD6F45"/>
    <w:rsid w:val="00BD71EC"/>
    <w:rsid w:val="00BD79B9"/>
    <w:rsid w:val="00BE2760"/>
    <w:rsid w:val="00BE2929"/>
    <w:rsid w:val="00BE47D4"/>
    <w:rsid w:val="00BE47FE"/>
    <w:rsid w:val="00BE67E4"/>
    <w:rsid w:val="00BE6DE0"/>
    <w:rsid w:val="00BF03F7"/>
    <w:rsid w:val="00BF2F06"/>
    <w:rsid w:val="00BF428A"/>
    <w:rsid w:val="00BF4371"/>
    <w:rsid w:val="00BF71CC"/>
    <w:rsid w:val="00C006E1"/>
    <w:rsid w:val="00C027D3"/>
    <w:rsid w:val="00C03BA3"/>
    <w:rsid w:val="00C03DE2"/>
    <w:rsid w:val="00C0416D"/>
    <w:rsid w:val="00C05347"/>
    <w:rsid w:val="00C057C6"/>
    <w:rsid w:val="00C05AC7"/>
    <w:rsid w:val="00C0639A"/>
    <w:rsid w:val="00C12060"/>
    <w:rsid w:val="00C150DC"/>
    <w:rsid w:val="00C20AD4"/>
    <w:rsid w:val="00C229A4"/>
    <w:rsid w:val="00C25D93"/>
    <w:rsid w:val="00C26920"/>
    <w:rsid w:val="00C27D63"/>
    <w:rsid w:val="00C317D9"/>
    <w:rsid w:val="00C34BB4"/>
    <w:rsid w:val="00C36884"/>
    <w:rsid w:val="00C37FF8"/>
    <w:rsid w:val="00C41E04"/>
    <w:rsid w:val="00C45453"/>
    <w:rsid w:val="00C4610C"/>
    <w:rsid w:val="00C4764B"/>
    <w:rsid w:val="00C4792D"/>
    <w:rsid w:val="00C51FEA"/>
    <w:rsid w:val="00C52337"/>
    <w:rsid w:val="00C523F4"/>
    <w:rsid w:val="00C54742"/>
    <w:rsid w:val="00C54CB6"/>
    <w:rsid w:val="00C56A09"/>
    <w:rsid w:val="00C60087"/>
    <w:rsid w:val="00C60C7F"/>
    <w:rsid w:val="00C615B0"/>
    <w:rsid w:val="00C61AE8"/>
    <w:rsid w:val="00C61BE0"/>
    <w:rsid w:val="00C61E6A"/>
    <w:rsid w:val="00C63B3A"/>
    <w:rsid w:val="00C64826"/>
    <w:rsid w:val="00C65C49"/>
    <w:rsid w:val="00C679C5"/>
    <w:rsid w:val="00C67FC6"/>
    <w:rsid w:val="00C720E7"/>
    <w:rsid w:val="00C722E9"/>
    <w:rsid w:val="00C724E0"/>
    <w:rsid w:val="00C72A23"/>
    <w:rsid w:val="00C7343A"/>
    <w:rsid w:val="00C758D9"/>
    <w:rsid w:val="00C762D9"/>
    <w:rsid w:val="00C76736"/>
    <w:rsid w:val="00C7735A"/>
    <w:rsid w:val="00C77FB9"/>
    <w:rsid w:val="00C806DC"/>
    <w:rsid w:val="00C80AD5"/>
    <w:rsid w:val="00C83038"/>
    <w:rsid w:val="00C83E55"/>
    <w:rsid w:val="00C84F0F"/>
    <w:rsid w:val="00C85010"/>
    <w:rsid w:val="00C85066"/>
    <w:rsid w:val="00C85590"/>
    <w:rsid w:val="00C85F79"/>
    <w:rsid w:val="00C86462"/>
    <w:rsid w:val="00C9018B"/>
    <w:rsid w:val="00C91909"/>
    <w:rsid w:val="00CA05FA"/>
    <w:rsid w:val="00CA1748"/>
    <w:rsid w:val="00CA1C7C"/>
    <w:rsid w:val="00CA3D32"/>
    <w:rsid w:val="00CA5510"/>
    <w:rsid w:val="00CA6A20"/>
    <w:rsid w:val="00CA6DE5"/>
    <w:rsid w:val="00CA74BC"/>
    <w:rsid w:val="00CB1CC8"/>
    <w:rsid w:val="00CB2A16"/>
    <w:rsid w:val="00CB2F0F"/>
    <w:rsid w:val="00CB4087"/>
    <w:rsid w:val="00CB41F8"/>
    <w:rsid w:val="00CB49C5"/>
    <w:rsid w:val="00CB7ED4"/>
    <w:rsid w:val="00CC135F"/>
    <w:rsid w:val="00CC294C"/>
    <w:rsid w:val="00CC4951"/>
    <w:rsid w:val="00CC4FC5"/>
    <w:rsid w:val="00CC5A3C"/>
    <w:rsid w:val="00CC63B8"/>
    <w:rsid w:val="00CC7309"/>
    <w:rsid w:val="00CC7B53"/>
    <w:rsid w:val="00CD0107"/>
    <w:rsid w:val="00CD11FE"/>
    <w:rsid w:val="00CD25E0"/>
    <w:rsid w:val="00CD2762"/>
    <w:rsid w:val="00CD31AB"/>
    <w:rsid w:val="00CD5A25"/>
    <w:rsid w:val="00CD6B17"/>
    <w:rsid w:val="00CD7797"/>
    <w:rsid w:val="00CD7BAC"/>
    <w:rsid w:val="00CE06A7"/>
    <w:rsid w:val="00CE0C90"/>
    <w:rsid w:val="00CE1035"/>
    <w:rsid w:val="00CE126C"/>
    <w:rsid w:val="00CE1945"/>
    <w:rsid w:val="00CE417E"/>
    <w:rsid w:val="00CE4CE5"/>
    <w:rsid w:val="00CE5D03"/>
    <w:rsid w:val="00CE5F6C"/>
    <w:rsid w:val="00CE72EE"/>
    <w:rsid w:val="00CF026F"/>
    <w:rsid w:val="00CF0CA9"/>
    <w:rsid w:val="00CF120E"/>
    <w:rsid w:val="00CF20EC"/>
    <w:rsid w:val="00CF4AF7"/>
    <w:rsid w:val="00CF54E2"/>
    <w:rsid w:val="00CF6214"/>
    <w:rsid w:val="00CF6874"/>
    <w:rsid w:val="00CF7BA2"/>
    <w:rsid w:val="00D009CE"/>
    <w:rsid w:val="00D01832"/>
    <w:rsid w:val="00D01DDC"/>
    <w:rsid w:val="00D038C4"/>
    <w:rsid w:val="00D0494A"/>
    <w:rsid w:val="00D04FE9"/>
    <w:rsid w:val="00D05274"/>
    <w:rsid w:val="00D06125"/>
    <w:rsid w:val="00D11F79"/>
    <w:rsid w:val="00D12D2A"/>
    <w:rsid w:val="00D1364A"/>
    <w:rsid w:val="00D1647C"/>
    <w:rsid w:val="00D16BA1"/>
    <w:rsid w:val="00D16E90"/>
    <w:rsid w:val="00D20BAF"/>
    <w:rsid w:val="00D215EC"/>
    <w:rsid w:val="00D21B88"/>
    <w:rsid w:val="00D22484"/>
    <w:rsid w:val="00D22904"/>
    <w:rsid w:val="00D22A3A"/>
    <w:rsid w:val="00D23E32"/>
    <w:rsid w:val="00D25C0E"/>
    <w:rsid w:val="00D269A3"/>
    <w:rsid w:val="00D26B7C"/>
    <w:rsid w:val="00D26CF1"/>
    <w:rsid w:val="00D26DBF"/>
    <w:rsid w:val="00D27460"/>
    <w:rsid w:val="00D31063"/>
    <w:rsid w:val="00D31158"/>
    <w:rsid w:val="00D312FE"/>
    <w:rsid w:val="00D31B81"/>
    <w:rsid w:val="00D330DD"/>
    <w:rsid w:val="00D365D5"/>
    <w:rsid w:val="00D3697A"/>
    <w:rsid w:val="00D4052E"/>
    <w:rsid w:val="00D416F2"/>
    <w:rsid w:val="00D42369"/>
    <w:rsid w:val="00D433C1"/>
    <w:rsid w:val="00D43BC4"/>
    <w:rsid w:val="00D44082"/>
    <w:rsid w:val="00D44F8B"/>
    <w:rsid w:val="00D452D6"/>
    <w:rsid w:val="00D45840"/>
    <w:rsid w:val="00D45C0E"/>
    <w:rsid w:val="00D462C0"/>
    <w:rsid w:val="00D467C3"/>
    <w:rsid w:val="00D46BD6"/>
    <w:rsid w:val="00D46F5C"/>
    <w:rsid w:val="00D476FD"/>
    <w:rsid w:val="00D51326"/>
    <w:rsid w:val="00D5162E"/>
    <w:rsid w:val="00D52A41"/>
    <w:rsid w:val="00D52F29"/>
    <w:rsid w:val="00D53F35"/>
    <w:rsid w:val="00D54660"/>
    <w:rsid w:val="00D564B5"/>
    <w:rsid w:val="00D5732E"/>
    <w:rsid w:val="00D61E00"/>
    <w:rsid w:val="00D621FE"/>
    <w:rsid w:val="00D631F1"/>
    <w:rsid w:val="00D639DB"/>
    <w:rsid w:val="00D65273"/>
    <w:rsid w:val="00D6775C"/>
    <w:rsid w:val="00D7061D"/>
    <w:rsid w:val="00D71464"/>
    <w:rsid w:val="00D71492"/>
    <w:rsid w:val="00D724A7"/>
    <w:rsid w:val="00D73D29"/>
    <w:rsid w:val="00D75D2B"/>
    <w:rsid w:val="00D761EF"/>
    <w:rsid w:val="00D80726"/>
    <w:rsid w:val="00D80EE3"/>
    <w:rsid w:val="00D81324"/>
    <w:rsid w:val="00D84A2F"/>
    <w:rsid w:val="00D85F10"/>
    <w:rsid w:val="00D8648F"/>
    <w:rsid w:val="00D865C8"/>
    <w:rsid w:val="00D876A5"/>
    <w:rsid w:val="00D90EAD"/>
    <w:rsid w:val="00D92172"/>
    <w:rsid w:val="00D93DD0"/>
    <w:rsid w:val="00D95120"/>
    <w:rsid w:val="00D958C8"/>
    <w:rsid w:val="00D96B23"/>
    <w:rsid w:val="00D97A12"/>
    <w:rsid w:val="00DA1BA0"/>
    <w:rsid w:val="00DA4910"/>
    <w:rsid w:val="00DA5F25"/>
    <w:rsid w:val="00DA6897"/>
    <w:rsid w:val="00DA6D56"/>
    <w:rsid w:val="00DB0788"/>
    <w:rsid w:val="00DB0D94"/>
    <w:rsid w:val="00DB1F0D"/>
    <w:rsid w:val="00DB323F"/>
    <w:rsid w:val="00DB4C64"/>
    <w:rsid w:val="00DB564B"/>
    <w:rsid w:val="00DB607E"/>
    <w:rsid w:val="00DB6092"/>
    <w:rsid w:val="00DB6A93"/>
    <w:rsid w:val="00DB7327"/>
    <w:rsid w:val="00DB7850"/>
    <w:rsid w:val="00DB7BE0"/>
    <w:rsid w:val="00DC025C"/>
    <w:rsid w:val="00DC0C8D"/>
    <w:rsid w:val="00DC2288"/>
    <w:rsid w:val="00DC25E1"/>
    <w:rsid w:val="00DC55F8"/>
    <w:rsid w:val="00DD0F68"/>
    <w:rsid w:val="00DD10E8"/>
    <w:rsid w:val="00DD1272"/>
    <w:rsid w:val="00DD19B8"/>
    <w:rsid w:val="00DD2124"/>
    <w:rsid w:val="00DD2127"/>
    <w:rsid w:val="00DD2136"/>
    <w:rsid w:val="00DD368A"/>
    <w:rsid w:val="00DD463C"/>
    <w:rsid w:val="00DD628F"/>
    <w:rsid w:val="00DD74E8"/>
    <w:rsid w:val="00DD7EF5"/>
    <w:rsid w:val="00DE129B"/>
    <w:rsid w:val="00DE1B33"/>
    <w:rsid w:val="00DE3062"/>
    <w:rsid w:val="00DE3AA5"/>
    <w:rsid w:val="00DE5635"/>
    <w:rsid w:val="00DF1979"/>
    <w:rsid w:val="00DF1E8C"/>
    <w:rsid w:val="00DF221B"/>
    <w:rsid w:val="00DF23F9"/>
    <w:rsid w:val="00DF28ED"/>
    <w:rsid w:val="00DF3371"/>
    <w:rsid w:val="00DF5C4C"/>
    <w:rsid w:val="00DF6747"/>
    <w:rsid w:val="00E00EE4"/>
    <w:rsid w:val="00E058F6"/>
    <w:rsid w:val="00E059B9"/>
    <w:rsid w:val="00E103DF"/>
    <w:rsid w:val="00E10502"/>
    <w:rsid w:val="00E1106B"/>
    <w:rsid w:val="00E11441"/>
    <w:rsid w:val="00E12798"/>
    <w:rsid w:val="00E132FB"/>
    <w:rsid w:val="00E152DC"/>
    <w:rsid w:val="00E16F6D"/>
    <w:rsid w:val="00E213E5"/>
    <w:rsid w:val="00E21B4F"/>
    <w:rsid w:val="00E21DFA"/>
    <w:rsid w:val="00E22589"/>
    <w:rsid w:val="00E22DA2"/>
    <w:rsid w:val="00E234A9"/>
    <w:rsid w:val="00E2408F"/>
    <w:rsid w:val="00E26C4F"/>
    <w:rsid w:val="00E3097A"/>
    <w:rsid w:val="00E30D89"/>
    <w:rsid w:val="00E3117C"/>
    <w:rsid w:val="00E31180"/>
    <w:rsid w:val="00E31D65"/>
    <w:rsid w:val="00E3397A"/>
    <w:rsid w:val="00E339DE"/>
    <w:rsid w:val="00E346D9"/>
    <w:rsid w:val="00E34A58"/>
    <w:rsid w:val="00E3673F"/>
    <w:rsid w:val="00E3703B"/>
    <w:rsid w:val="00E41345"/>
    <w:rsid w:val="00E4668A"/>
    <w:rsid w:val="00E50660"/>
    <w:rsid w:val="00E5286F"/>
    <w:rsid w:val="00E52A1A"/>
    <w:rsid w:val="00E52E66"/>
    <w:rsid w:val="00E53B98"/>
    <w:rsid w:val="00E57EEB"/>
    <w:rsid w:val="00E60862"/>
    <w:rsid w:val="00E6089A"/>
    <w:rsid w:val="00E61518"/>
    <w:rsid w:val="00E647D6"/>
    <w:rsid w:val="00E66214"/>
    <w:rsid w:val="00E71D29"/>
    <w:rsid w:val="00E73A55"/>
    <w:rsid w:val="00E73D51"/>
    <w:rsid w:val="00E73FD4"/>
    <w:rsid w:val="00E775FF"/>
    <w:rsid w:val="00E805F2"/>
    <w:rsid w:val="00E80CE2"/>
    <w:rsid w:val="00E811E4"/>
    <w:rsid w:val="00E849F8"/>
    <w:rsid w:val="00E84F56"/>
    <w:rsid w:val="00E852B4"/>
    <w:rsid w:val="00E91E54"/>
    <w:rsid w:val="00E922DF"/>
    <w:rsid w:val="00E932D9"/>
    <w:rsid w:val="00E94515"/>
    <w:rsid w:val="00E94908"/>
    <w:rsid w:val="00E95F79"/>
    <w:rsid w:val="00E95FA0"/>
    <w:rsid w:val="00E96A28"/>
    <w:rsid w:val="00E974A5"/>
    <w:rsid w:val="00E977A9"/>
    <w:rsid w:val="00E97E69"/>
    <w:rsid w:val="00EA0128"/>
    <w:rsid w:val="00EA0926"/>
    <w:rsid w:val="00EA1B7D"/>
    <w:rsid w:val="00EA1B9B"/>
    <w:rsid w:val="00EA2249"/>
    <w:rsid w:val="00EA2823"/>
    <w:rsid w:val="00EA3337"/>
    <w:rsid w:val="00EA3500"/>
    <w:rsid w:val="00EA3E26"/>
    <w:rsid w:val="00EA3FA9"/>
    <w:rsid w:val="00EA5414"/>
    <w:rsid w:val="00EA7026"/>
    <w:rsid w:val="00EA7762"/>
    <w:rsid w:val="00EA7C1F"/>
    <w:rsid w:val="00EB0B0D"/>
    <w:rsid w:val="00EB154B"/>
    <w:rsid w:val="00EB2442"/>
    <w:rsid w:val="00EB566D"/>
    <w:rsid w:val="00EB6910"/>
    <w:rsid w:val="00EB6C98"/>
    <w:rsid w:val="00EB708F"/>
    <w:rsid w:val="00EB7AA0"/>
    <w:rsid w:val="00EC150F"/>
    <w:rsid w:val="00EC1A21"/>
    <w:rsid w:val="00EC2005"/>
    <w:rsid w:val="00EC2751"/>
    <w:rsid w:val="00EC447D"/>
    <w:rsid w:val="00EC45E6"/>
    <w:rsid w:val="00EC7E67"/>
    <w:rsid w:val="00ED066D"/>
    <w:rsid w:val="00ED24C6"/>
    <w:rsid w:val="00ED3461"/>
    <w:rsid w:val="00ED3C61"/>
    <w:rsid w:val="00ED47A4"/>
    <w:rsid w:val="00ED4A79"/>
    <w:rsid w:val="00ED4E61"/>
    <w:rsid w:val="00ED555D"/>
    <w:rsid w:val="00ED6FB1"/>
    <w:rsid w:val="00ED7C6F"/>
    <w:rsid w:val="00EE0F1B"/>
    <w:rsid w:val="00EE1472"/>
    <w:rsid w:val="00EE17C2"/>
    <w:rsid w:val="00EE1956"/>
    <w:rsid w:val="00EE23BB"/>
    <w:rsid w:val="00EE3362"/>
    <w:rsid w:val="00EE41E9"/>
    <w:rsid w:val="00EE4B03"/>
    <w:rsid w:val="00EE67B7"/>
    <w:rsid w:val="00EE7634"/>
    <w:rsid w:val="00EE7D2D"/>
    <w:rsid w:val="00EE7E8A"/>
    <w:rsid w:val="00EF1807"/>
    <w:rsid w:val="00EF2AF7"/>
    <w:rsid w:val="00EF3948"/>
    <w:rsid w:val="00EF4E4A"/>
    <w:rsid w:val="00EF5074"/>
    <w:rsid w:val="00EF560A"/>
    <w:rsid w:val="00EF5AC6"/>
    <w:rsid w:val="00EF6028"/>
    <w:rsid w:val="00EF7495"/>
    <w:rsid w:val="00F00D6B"/>
    <w:rsid w:val="00F0117E"/>
    <w:rsid w:val="00F02D17"/>
    <w:rsid w:val="00F042E2"/>
    <w:rsid w:val="00F05D3C"/>
    <w:rsid w:val="00F06429"/>
    <w:rsid w:val="00F07FA3"/>
    <w:rsid w:val="00F105B9"/>
    <w:rsid w:val="00F12C9D"/>
    <w:rsid w:val="00F1414B"/>
    <w:rsid w:val="00F15837"/>
    <w:rsid w:val="00F163E6"/>
    <w:rsid w:val="00F2076A"/>
    <w:rsid w:val="00F20FC1"/>
    <w:rsid w:val="00F22F0C"/>
    <w:rsid w:val="00F23674"/>
    <w:rsid w:val="00F23C1B"/>
    <w:rsid w:val="00F254D6"/>
    <w:rsid w:val="00F25852"/>
    <w:rsid w:val="00F26133"/>
    <w:rsid w:val="00F2657A"/>
    <w:rsid w:val="00F268BC"/>
    <w:rsid w:val="00F26EC4"/>
    <w:rsid w:val="00F32163"/>
    <w:rsid w:val="00F327A7"/>
    <w:rsid w:val="00F330A7"/>
    <w:rsid w:val="00F33587"/>
    <w:rsid w:val="00F33DFF"/>
    <w:rsid w:val="00F34536"/>
    <w:rsid w:val="00F34D09"/>
    <w:rsid w:val="00F354FD"/>
    <w:rsid w:val="00F35604"/>
    <w:rsid w:val="00F3744D"/>
    <w:rsid w:val="00F3780A"/>
    <w:rsid w:val="00F40395"/>
    <w:rsid w:val="00F40A35"/>
    <w:rsid w:val="00F4114C"/>
    <w:rsid w:val="00F415DA"/>
    <w:rsid w:val="00F42C92"/>
    <w:rsid w:val="00F43310"/>
    <w:rsid w:val="00F4337E"/>
    <w:rsid w:val="00F44281"/>
    <w:rsid w:val="00F45FBF"/>
    <w:rsid w:val="00F465D7"/>
    <w:rsid w:val="00F4683F"/>
    <w:rsid w:val="00F50505"/>
    <w:rsid w:val="00F51719"/>
    <w:rsid w:val="00F53162"/>
    <w:rsid w:val="00F53F22"/>
    <w:rsid w:val="00F544F9"/>
    <w:rsid w:val="00F55A88"/>
    <w:rsid w:val="00F566F0"/>
    <w:rsid w:val="00F56952"/>
    <w:rsid w:val="00F60B5B"/>
    <w:rsid w:val="00F60B91"/>
    <w:rsid w:val="00F61074"/>
    <w:rsid w:val="00F632E6"/>
    <w:rsid w:val="00F637C1"/>
    <w:rsid w:val="00F66EB9"/>
    <w:rsid w:val="00F67053"/>
    <w:rsid w:val="00F67D5E"/>
    <w:rsid w:val="00F71AAE"/>
    <w:rsid w:val="00F71B9F"/>
    <w:rsid w:val="00F72469"/>
    <w:rsid w:val="00F74AA0"/>
    <w:rsid w:val="00F758C6"/>
    <w:rsid w:val="00F80E65"/>
    <w:rsid w:val="00F84458"/>
    <w:rsid w:val="00F8564B"/>
    <w:rsid w:val="00F85F3F"/>
    <w:rsid w:val="00F86BD4"/>
    <w:rsid w:val="00F904D9"/>
    <w:rsid w:val="00F904FA"/>
    <w:rsid w:val="00F9322A"/>
    <w:rsid w:val="00F936F8"/>
    <w:rsid w:val="00F93855"/>
    <w:rsid w:val="00F94F38"/>
    <w:rsid w:val="00F95705"/>
    <w:rsid w:val="00F9665C"/>
    <w:rsid w:val="00FA0933"/>
    <w:rsid w:val="00FA0E80"/>
    <w:rsid w:val="00FA3D73"/>
    <w:rsid w:val="00FA4D57"/>
    <w:rsid w:val="00FA56A6"/>
    <w:rsid w:val="00FA6794"/>
    <w:rsid w:val="00FA6A67"/>
    <w:rsid w:val="00FA6FF2"/>
    <w:rsid w:val="00FB23EB"/>
    <w:rsid w:val="00FB2977"/>
    <w:rsid w:val="00FB3D29"/>
    <w:rsid w:val="00FB4210"/>
    <w:rsid w:val="00FC2960"/>
    <w:rsid w:val="00FC3B98"/>
    <w:rsid w:val="00FC464C"/>
    <w:rsid w:val="00FC5995"/>
    <w:rsid w:val="00FC68B8"/>
    <w:rsid w:val="00FD11D9"/>
    <w:rsid w:val="00FD16CE"/>
    <w:rsid w:val="00FD1923"/>
    <w:rsid w:val="00FD2590"/>
    <w:rsid w:val="00FD2A13"/>
    <w:rsid w:val="00FD2D40"/>
    <w:rsid w:val="00FD3432"/>
    <w:rsid w:val="00FD3784"/>
    <w:rsid w:val="00FD3FEB"/>
    <w:rsid w:val="00FD5496"/>
    <w:rsid w:val="00FD7126"/>
    <w:rsid w:val="00FE0136"/>
    <w:rsid w:val="00FE0537"/>
    <w:rsid w:val="00FE0F89"/>
    <w:rsid w:val="00FE13DF"/>
    <w:rsid w:val="00FE179B"/>
    <w:rsid w:val="00FE1CA0"/>
    <w:rsid w:val="00FE22B4"/>
    <w:rsid w:val="00FE2A6D"/>
    <w:rsid w:val="00FE3282"/>
    <w:rsid w:val="00FE3AF3"/>
    <w:rsid w:val="00FE7BDF"/>
    <w:rsid w:val="00FE7E44"/>
    <w:rsid w:val="00FF49DD"/>
    <w:rsid w:val="00FF4A9A"/>
    <w:rsid w:val="00FF4A9B"/>
    <w:rsid w:val="00FF57CC"/>
    <w:rsid w:val="00FF6722"/>
    <w:rsid w:val="013F1DC9"/>
    <w:rsid w:val="017839B4"/>
    <w:rsid w:val="018F4F84"/>
    <w:rsid w:val="01B647F2"/>
    <w:rsid w:val="01D31DFC"/>
    <w:rsid w:val="01E445CE"/>
    <w:rsid w:val="01F45076"/>
    <w:rsid w:val="01F91A6E"/>
    <w:rsid w:val="020725C5"/>
    <w:rsid w:val="022910C8"/>
    <w:rsid w:val="02322BAC"/>
    <w:rsid w:val="02454D54"/>
    <w:rsid w:val="028415F1"/>
    <w:rsid w:val="028A1474"/>
    <w:rsid w:val="02AA2908"/>
    <w:rsid w:val="02B923FE"/>
    <w:rsid w:val="02BF7C9F"/>
    <w:rsid w:val="02F71809"/>
    <w:rsid w:val="030249B1"/>
    <w:rsid w:val="03171CD9"/>
    <w:rsid w:val="032A3470"/>
    <w:rsid w:val="033504B4"/>
    <w:rsid w:val="03454BCD"/>
    <w:rsid w:val="03474F5C"/>
    <w:rsid w:val="034E6284"/>
    <w:rsid w:val="035D67C3"/>
    <w:rsid w:val="035E06B7"/>
    <w:rsid w:val="036A5173"/>
    <w:rsid w:val="038B5147"/>
    <w:rsid w:val="03C77F17"/>
    <w:rsid w:val="03D4770F"/>
    <w:rsid w:val="03DC4269"/>
    <w:rsid w:val="03DF1FA6"/>
    <w:rsid w:val="03E41547"/>
    <w:rsid w:val="03FE0FC9"/>
    <w:rsid w:val="04156CEC"/>
    <w:rsid w:val="0419195F"/>
    <w:rsid w:val="045F02DA"/>
    <w:rsid w:val="04695E5D"/>
    <w:rsid w:val="04A84807"/>
    <w:rsid w:val="04DF3086"/>
    <w:rsid w:val="04F860A3"/>
    <w:rsid w:val="051D2DF9"/>
    <w:rsid w:val="052F3D26"/>
    <w:rsid w:val="05356F5A"/>
    <w:rsid w:val="05366E15"/>
    <w:rsid w:val="05527DB0"/>
    <w:rsid w:val="05564AC3"/>
    <w:rsid w:val="05643544"/>
    <w:rsid w:val="056B6E84"/>
    <w:rsid w:val="056D08A4"/>
    <w:rsid w:val="057C755A"/>
    <w:rsid w:val="05CF0AB2"/>
    <w:rsid w:val="05D9283D"/>
    <w:rsid w:val="05DF3FF2"/>
    <w:rsid w:val="05E80F2C"/>
    <w:rsid w:val="05F46BEC"/>
    <w:rsid w:val="060D0289"/>
    <w:rsid w:val="062007A1"/>
    <w:rsid w:val="064A25AA"/>
    <w:rsid w:val="065F2B1E"/>
    <w:rsid w:val="066527AE"/>
    <w:rsid w:val="06673F9A"/>
    <w:rsid w:val="069046C8"/>
    <w:rsid w:val="069C6C57"/>
    <w:rsid w:val="06AD7702"/>
    <w:rsid w:val="06BC54D2"/>
    <w:rsid w:val="06CC4263"/>
    <w:rsid w:val="06DA12D1"/>
    <w:rsid w:val="06FD084E"/>
    <w:rsid w:val="07005256"/>
    <w:rsid w:val="070833D4"/>
    <w:rsid w:val="07205FDA"/>
    <w:rsid w:val="072A32A5"/>
    <w:rsid w:val="07415076"/>
    <w:rsid w:val="07456585"/>
    <w:rsid w:val="07820722"/>
    <w:rsid w:val="07B85608"/>
    <w:rsid w:val="07C93C74"/>
    <w:rsid w:val="07E152BF"/>
    <w:rsid w:val="07EF6E68"/>
    <w:rsid w:val="07FC31A3"/>
    <w:rsid w:val="08192E31"/>
    <w:rsid w:val="085A51F1"/>
    <w:rsid w:val="0867416F"/>
    <w:rsid w:val="089C79E3"/>
    <w:rsid w:val="08D42713"/>
    <w:rsid w:val="08D65A4F"/>
    <w:rsid w:val="08D6701D"/>
    <w:rsid w:val="08F024D3"/>
    <w:rsid w:val="09064FBB"/>
    <w:rsid w:val="09190D62"/>
    <w:rsid w:val="09214029"/>
    <w:rsid w:val="09475E50"/>
    <w:rsid w:val="09653FBD"/>
    <w:rsid w:val="099076BA"/>
    <w:rsid w:val="09C452F2"/>
    <w:rsid w:val="09E74CB3"/>
    <w:rsid w:val="09EB370C"/>
    <w:rsid w:val="09F40745"/>
    <w:rsid w:val="0A000593"/>
    <w:rsid w:val="0A07468E"/>
    <w:rsid w:val="0A0F4CAB"/>
    <w:rsid w:val="0A333F43"/>
    <w:rsid w:val="0A5F02DC"/>
    <w:rsid w:val="0A722405"/>
    <w:rsid w:val="0A86242B"/>
    <w:rsid w:val="0AAB63D9"/>
    <w:rsid w:val="0AAE1D84"/>
    <w:rsid w:val="0AF3441A"/>
    <w:rsid w:val="0AFB43CE"/>
    <w:rsid w:val="0AFB77C3"/>
    <w:rsid w:val="0B0861C1"/>
    <w:rsid w:val="0B25555B"/>
    <w:rsid w:val="0B301DB6"/>
    <w:rsid w:val="0B5657C7"/>
    <w:rsid w:val="0B681EF5"/>
    <w:rsid w:val="0B6837A0"/>
    <w:rsid w:val="0B7078E0"/>
    <w:rsid w:val="0B876A6B"/>
    <w:rsid w:val="0B8E095D"/>
    <w:rsid w:val="0BA01E8A"/>
    <w:rsid w:val="0BDE5511"/>
    <w:rsid w:val="0BF13340"/>
    <w:rsid w:val="0C0710D3"/>
    <w:rsid w:val="0C0B1E69"/>
    <w:rsid w:val="0C363673"/>
    <w:rsid w:val="0C434CD5"/>
    <w:rsid w:val="0C7B17F2"/>
    <w:rsid w:val="0C985AFF"/>
    <w:rsid w:val="0CD1111F"/>
    <w:rsid w:val="0D334F58"/>
    <w:rsid w:val="0D3F525D"/>
    <w:rsid w:val="0D422E5F"/>
    <w:rsid w:val="0D606BBE"/>
    <w:rsid w:val="0D711657"/>
    <w:rsid w:val="0D926941"/>
    <w:rsid w:val="0D95434C"/>
    <w:rsid w:val="0D990B70"/>
    <w:rsid w:val="0DCA798F"/>
    <w:rsid w:val="0DE03E72"/>
    <w:rsid w:val="0DE272C5"/>
    <w:rsid w:val="0E2D3048"/>
    <w:rsid w:val="0E9A7F8D"/>
    <w:rsid w:val="0EAD366A"/>
    <w:rsid w:val="0EB04B72"/>
    <w:rsid w:val="0EB519B3"/>
    <w:rsid w:val="0ECB25C2"/>
    <w:rsid w:val="0EE27B1F"/>
    <w:rsid w:val="0EFE796C"/>
    <w:rsid w:val="0F0B37B0"/>
    <w:rsid w:val="0F145680"/>
    <w:rsid w:val="0F191BD9"/>
    <w:rsid w:val="0F3378BD"/>
    <w:rsid w:val="0F4935ED"/>
    <w:rsid w:val="0F4B6100"/>
    <w:rsid w:val="0F4F73DF"/>
    <w:rsid w:val="0F53595D"/>
    <w:rsid w:val="0F663014"/>
    <w:rsid w:val="0F8F00FD"/>
    <w:rsid w:val="0FA46529"/>
    <w:rsid w:val="0FA874C5"/>
    <w:rsid w:val="0FB57113"/>
    <w:rsid w:val="0FCF4613"/>
    <w:rsid w:val="0FD24972"/>
    <w:rsid w:val="0FD74C23"/>
    <w:rsid w:val="0FF15458"/>
    <w:rsid w:val="100F6ABC"/>
    <w:rsid w:val="10215008"/>
    <w:rsid w:val="103C513D"/>
    <w:rsid w:val="10522BAD"/>
    <w:rsid w:val="105570E6"/>
    <w:rsid w:val="106A4C1B"/>
    <w:rsid w:val="10BD03C9"/>
    <w:rsid w:val="10DC7FFA"/>
    <w:rsid w:val="10F36AD7"/>
    <w:rsid w:val="11121500"/>
    <w:rsid w:val="11601A42"/>
    <w:rsid w:val="11632FC0"/>
    <w:rsid w:val="11796835"/>
    <w:rsid w:val="11900D86"/>
    <w:rsid w:val="11B80A79"/>
    <w:rsid w:val="11BB0340"/>
    <w:rsid w:val="11CE2007"/>
    <w:rsid w:val="11F87AE1"/>
    <w:rsid w:val="1209541F"/>
    <w:rsid w:val="120E16A0"/>
    <w:rsid w:val="120F1630"/>
    <w:rsid w:val="12174ABE"/>
    <w:rsid w:val="122D37E7"/>
    <w:rsid w:val="12387084"/>
    <w:rsid w:val="128E27E7"/>
    <w:rsid w:val="128E4489"/>
    <w:rsid w:val="12EA7601"/>
    <w:rsid w:val="13137A0F"/>
    <w:rsid w:val="13183C1B"/>
    <w:rsid w:val="132655A2"/>
    <w:rsid w:val="13395257"/>
    <w:rsid w:val="13697CF4"/>
    <w:rsid w:val="136B1A6E"/>
    <w:rsid w:val="137A6109"/>
    <w:rsid w:val="137F0BC4"/>
    <w:rsid w:val="13A21F73"/>
    <w:rsid w:val="13A56489"/>
    <w:rsid w:val="13C06F2A"/>
    <w:rsid w:val="13C07441"/>
    <w:rsid w:val="13CA163F"/>
    <w:rsid w:val="13D56ED2"/>
    <w:rsid w:val="13FC4692"/>
    <w:rsid w:val="14052B78"/>
    <w:rsid w:val="14250830"/>
    <w:rsid w:val="1428448E"/>
    <w:rsid w:val="143844C0"/>
    <w:rsid w:val="14467C46"/>
    <w:rsid w:val="144B029C"/>
    <w:rsid w:val="144D1F23"/>
    <w:rsid w:val="14563F8D"/>
    <w:rsid w:val="1457016A"/>
    <w:rsid w:val="148A7116"/>
    <w:rsid w:val="14A24D4E"/>
    <w:rsid w:val="14E900B3"/>
    <w:rsid w:val="15422AD5"/>
    <w:rsid w:val="154714A6"/>
    <w:rsid w:val="154D1CF6"/>
    <w:rsid w:val="1550529F"/>
    <w:rsid w:val="156C183F"/>
    <w:rsid w:val="156F5FA5"/>
    <w:rsid w:val="158C17BA"/>
    <w:rsid w:val="15B2147A"/>
    <w:rsid w:val="16210F76"/>
    <w:rsid w:val="16223E19"/>
    <w:rsid w:val="163C32C6"/>
    <w:rsid w:val="16422AD0"/>
    <w:rsid w:val="168D09DF"/>
    <w:rsid w:val="168E40CE"/>
    <w:rsid w:val="16AC08C8"/>
    <w:rsid w:val="16B26FA2"/>
    <w:rsid w:val="16BC2679"/>
    <w:rsid w:val="16EA7F32"/>
    <w:rsid w:val="17290637"/>
    <w:rsid w:val="175C7038"/>
    <w:rsid w:val="175E3A13"/>
    <w:rsid w:val="176333F5"/>
    <w:rsid w:val="179D10D9"/>
    <w:rsid w:val="17B9248A"/>
    <w:rsid w:val="17BA679D"/>
    <w:rsid w:val="17CC3EA2"/>
    <w:rsid w:val="17D11D27"/>
    <w:rsid w:val="17D6697A"/>
    <w:rsid w:val="17E23611"/>
    <w:rsid w:val="17EB5DED"/>
    <w:rsid w:val="17EE7F80"/>
    <w:rsid w:val="180A142C"/>
    <w:rsid w:val="180B05B9"/>
    <w:rsid w:val="181A09B7"/>
    <w:rsid w:val="1820512D"/>
    <w:rsid w:val="182126BC"/>
    <w:rsid w:val="183C400E"/>
    <w:rsid w:val="187C5E74"/>
    <w:rsid w:val="187F6732"/>
    <w:rsid w:val="18994CD9"/>
    <w:rsid w:val="18AA1A7E"/>
    <w:rsid w:val="18AE1396"/>
    <w:rsid w:val="18B25EF2"/>
    <w:rsid w:val="18D86A72"/>
    <w:rsid w:val="190C1090"/>
    <w:rsid w:val="190E4A70"/>
    <w:rsid w:val="191303BB"/>
    <w:rsid w:val="192551F9"/>
    <w:rsid w:val="19361D4C"/>
    <w:rsid w:val="19362CD2"/>
    <w:rsid w:val="193E6072"/>
    <w:rsid w:val="19487998"/>
    <w:rsid w:val="194B33AC"/>
    <w:rsid w:val="19686977"/>
    <w:rsid w:val="199B5CBF"/>
    <w:rsid w:val="19A81389"/>
    <w:rsid w:val="19F224DC"/>
    <w:rsid w:val="19F72E16"/>
    <w:rsid w:val="1A1C31EA"/>
    <w:rsid w:val="1A2657AB"/>
    <w:rsid w:val="1A934D0C"/>
    <w:rsid w:val="1A9E2575"/>
    <w:rsid w:val="1AB4701E"/>
    <w:rsid w:val="1AB86F56"/>
    <w:rsid w:val="1ACB622F"/>
    <w:rsid w:val="1AD54BCF"/>
    <w:rsid w:val="1AD84BD1"/>
    <w:rsid w:val="1B035160"/>
    <w:rsid w:val="1B2A119F"/>
    <w:rsid w:val="1B3B19FF"/>
    <w:rsid w:val="1B432250"/>
    <w:rsid w:val="1B59065F"/>
    <w:rsid w:val="1B787772"/>
    <w:rsid w:val="1B856E8E"/>
    <w:rsid w:val="1B9265DE"/>
    <w:rsid w:val="1B9853E0"/>
    <w:rsid w:val="1BA33DCF"/>
    <w:rsid w:val="1BCA4C67"/>
    <w:rsid w:val="1BD6094D"/>
    <w:rsid w:val="1BFE2694"/>
    <w:rsid w:val="1C1074FA"/>
    <w:rsid w:val="1C1E6084"/>
    <w:rsid w:val="1C460FFD"/>
    <w:rsid w:val="1C6E5335"/>
    <w:rsid w:val="1C75793A"/>
    <w:rsid w:val="1C897457"/>
    <w:rsid w:val="1CCC1732"/>
    <w:rsid w:val="1CD35F37"/>
    <w:rsid w:val="1CE842A8"/>
    <w:rsid w:val="1D053FB6"/>
    <w:rsid w:val="1D0A105B"/>
    <w:rsid w:val="1D0E382A"/>
    <w:rsid w:val="1D207C32"/>
    <w:rsid w:val="1D2E247E"/>
    <w:rsid w:val="1D3C777B"/>
    <w:rsid w:val="1D473245"/>
    <w:rsid w:val="1D5C0FD3"/>
    <w:rsid w:val="1D5F6D7A"/>
    <w:rsid w:val="1D8A1588"/>
    <w:rsid w:val="1D9317D6"/>
    <w:rsid w:val="1DAA4E3F"/>
    <w:rsid w:val="1DB251EB"/>
    <w:rsid w:val="1DDC5166"/>
    <w:rsid w:val="1DF53D0E"/>
    <w:rsid w:val="1E2A22D2"/>
    <w:rsid w:val="1E3E58A8"/>
    <w:rsid w:val="1E43267C"/>
    <w:rsid w:val="1E475196"/>
    <w:rsid w:val="1E49276A"/>
    <w:rsid w:val="1E543AA9"/>
    <w:rsid w:val="1E602AE1"/>
    <w:rsid w:val="1E855CB4"/>
    <w:rsid w:val="1E99125A"/>
    <w:rsid w:val="1EA071D0"/>
    <w:rsid w:val="1EB905D0"/>
    <w:rsid w:val="1EF5107E"/>
    <w:rsid w:val="1F263E7B"/>
    <w:rsid w:val="1F956CA6"/>
    <w:rsid w:val="1FAF5128"/>
    <w:rsid w:val="1FC96552"/>
    <w:rsid w:val="1FE17849"/>
    <w:rsid w:val="1FEF4F51"/>
    <w:rsid w:val="20185BC1"/>
    <w:rsid w:val="20193E72"/>
    <w:rsid w:val="205F55A5"/>
    <w:rsid w:val="206741A5"/>
    <w:rsid w:val="20675420"/>
    <w:rsid w:val="20A0374D"/>
    <w:rsid w:val="20BB101A"/>
    <w:rsid w:val="20C31B46"/>
    <w:rsid w:val="20C64DCF"/>
    <w:rsid w:val="20F55AAF"/>
    <w:rsid w:val="21346676"/>
    <w:rsid w:val="21353AC5"/>
    <w:rsid w:val="21645A5D"/>
    <w:rsid w:val="218A28C1"/>
    <w:rsid w:val="21A11346"/>
    <w:rsid w:val="21BE7BEB"/>
    <w:rsid w:val="21D46587"/>
    <w:rsid w:val="22012FC2"/>
    <w:rsid w:val="220549C5"/>
    <w:rsid w:val="22333F7B"/>
    <w:rsid w:val="223B0848"/>
    <w:rsid w:val="224D69B2"/>
    <w:rsid w:val="224F6E32"/>
    <w:rsid w:val="226773FB"/>
    <w:rsid w:val="228968CF"/>
    <w:rsid w:val="22952705"/>
    <w:rsid w:val="229B6D4A"/>
    <w:rsid w:val="229C07DB"/>
    <w:rsid w:val="22A908A4"/>
    <w:rsid w:val="22CB1E23"/>
    <w:rsid w:val="22D4592F"/>
    <w:rsid w:val="22D63C66"/>
    <w:rsid w:val="22FA7BB1"/>
    <w:rsid w:val="23030E28"/>
    <w:rsid w:val="232F6D1F"/>
    <w:rsid w:val="234462A8"/>
    <w:rsid w:val="23476D89"/>
    <w:rsid w:val="234F1E39"/>
    <w:rsid w:val="23507F43"/>
    <w:rsid w:val="235B2B6D"/>
    <w:rsid w:val="236F16A6"/>
    <w:rsid w:val="238A654B"/>
    <w:rsid w:val="239141EA"/>
    <w:rsid w:val="23931FA1"/>
    <w:rsid w:val="23A45436"/>
    <w:rsid w:val="23A572A1"/>
    <w:rsid w:val="23B14283"/>
    <w:rsid w:val="23CA1602"/>
    <w:rsid w:val="23CA222A"/>
    <w:rsid w:val="23FB327F"/>
    <w:rsid w:val="2404336C"/>
    <w:rsid w:val="241445CA"/>
    <w:rsid w:val="24340842"/>
    <w:rsid w:val="24662244"/>
    <w:rsid w:val="247315A4"/>
    <w:rsid w:val="24774C02"/>
    <w:rsid w:val="247F45A7"/>
    <w:rsid w:val="24914D0C"/>
    <w:rsid w:val="24AD53D4"/>
    <w:rsid w:val="24AE24F5"/>
    <w:rsid w:val="24AF09F2"/>
    <w:rsid w:val="24C91293"/>
    <w:rsid w:val="24CD56A4"/>
    <w:rsid w:val="24D94E2E"/>
    <w:rsid w:val="24DE6157"/>
    <w:rsid w:val="24FF70DA"/>
    <w:rsid w:val="250F43BC"/>
    <w:rsid w:val="252915D3"/>
    <w:rsid w:val="25377F6E"/>
    <w:rsid w:val="254265DA"/>
    <w:rsid w:val="25513DC4"/>
    <w:rsid w:val="25805F91"/>
    <w:rsid w:val="258175E8"/>
    <w:rsid w:val="25902E7D"/>
    <w:rsid w:val="25CC417C"/>
    <w:rsid w:val="25CD61D9"/>
    <w:rsid w:val="25D104EA"/>
    <w:rsid w:val="25D921A9"/>
    <w:rsid w:val="25E57453"/>
    <w:rsid w:val="25E70D77"/>
    <w:rsid w:val="25ED79C2"/>
    <w:rsid w:val="25F16D57"/>
    <w:rsid w:val="261A7652"/>
    <w:rsid w:val="26285B3A"/>
    <w:rsid w:val="26351ED3"/>
    <w:rsid w:val="26473203"/>
    <w:rsid w:val="26561B11"/>
    <w:rsid w:val="267F3653"/>
    <w:rsid w:val="268C6311"/>
    <w:rsid w:val="26AC70C6"/>
    <w:rsid w:val="26B66114"/>
    <w:rsid w:val="26F7634C"/>
    <w:rsid w:val="2709221E"/>
    <w:rsid w:val="271E0AB4"/>
    <w:rsid w:val="27576E27"/>
    <w:rsid w:val="275B6784"/>
    <w:rsid w:val="27694BF3"/>
    <w:rsid w:val="27787CF2"/>
    <w:rsid w:val="27832301"/>
    <w:rsid w:val="2785375A"/>
    <w:rsid w:val="2787425A"/>
    <w:rsid w:val="279141D9"/>
    <w:rsid w:val="27A32287"/>
    <w:rsid w:val="27D52F4D"/>
    <w:rsid w:val="280D3A60"/>
    <w:rsid w:val="284F1F1D"/>
    <w:rsid w:val="285E5457"/>
    <w:rsid w:val="286B1201"/>
    <w:rsid w:val="286B4045"/>
    <w:rsid w:val="28C14462"/>
    <w:rsid w:val="28F509FE"/>
    <w:rsid w:val="290A6E57"/>
    <w:rsid w:val="29130F00"/>
    <w:rsid w:val="291A14E9"/>
    <w:rsid w:val="29266229"/>
    <w:rsid w:val="294603EC"/>
    <w:rsid w:val="294A4DD2"/>
    <w:rsid w:val="294C44CD"/>
    <w:rsid w:val="2989222E"/>
    <w:rsid w:val="29A90424"/>
    <w:rsid w:val="29B01662"/>
    <w:rsid w:val="29B954D4"/>
    <w:rsid w:val="29FB24C4"/>
    <w:rsid w:val="2A0A05FD"/>
    <w:rsid w:val="2A0F71AF"/>
    <w:rsid w:val="2A2E6E04"/>
    <w:rsid w:val="2A3B1825"/>
    <w:rsid w:val="2A66261E"/>
    <w:rsid w:val="2A666BD3"/>
    <w:rsid w:val="2A6D4989"/>
    <w:rsid w:val="2A6E2D04"/>
    <w:rsid w:val="2A992F38"/>
    <w:rsid w:val="2A9D6945"/>
    <w:rsid w:val="2A9E4343"/>
    <w:rsid w:val="2AA42840"/>
    <w:rsid w:val="2AE03960"/>
    <w:rsid w:val="2AEC0DE9"/>
    <w:rsid w:val="2AFD6112"/>
    <w:rsid w:val="2B001928"/>
    <w:rsid w:val="2B077564"/>
    <w:rsid w:val="2B1D20C8"/>
    <w:rsid w:val="2B3157C2"/>
    <w:rsid w:val="2B52676B"/>
    <w:rsid w:val="2B837BCA"/>
    <w:rsid w:val="2BBF4122"/>
    <w:rsid w:val="2BD039E2"/>
    <w:rsid w:val="2BFF6DCA"/>
    <w:rsid w:val="2C1132FB"/>
    <w:rsid w:val="2C1B43B5"/>
    <w:rsid w:val="2C20315F"/>
    <w:rsid w:val="2C237856"/>
    <w:rsid w:val="2C352609"/>
    <w:rsid w:val="2C56080A"/>
    <w:rsid w:val="2C645393"/>
    <w:rsid w:val="2C7439F7"/>
    <w:rsid w:val="2C9420F7"/>
    <w:rsid w:val="2C9B3BC9"/>
    <w:rsid w:val="2CB76CC5"/>
    <w:rsid w:val="2CF4608A"/>
    <w:rsid w:val="2D1E069A"/>
    <w:rsid w:val="2D253C18"/>
    <w:rsid w:val="2D31546A"/>
    <w:rsid w:val="2D4F7CC4"/>
    <w:rsid w:val="2D5E717D"/>
    <w:rsid w:val="2D765CB0"/>
    <w:rsid w:val="2DA74888"/>
    <w:rsid w:val="2DB8657A"/>
    <w:rsid w:val="2DCC4ACD"/>
    <w:rsid w:val="2DD512B8"/>
    <w:rsid w:val="2E2864AF"/>
    <w:rsid w:val="2E531C15"/>
    <w:rsid w:val="2E5C65BC"/>
    <w:rsid w:val="2E83337A"/>
    <w:rsid w:val="2EC42041"/>
    <w:rsid w:val="2EC75C56"/>
    <w:rsid w:val="2ED42908"/>
    <w:rsid w:val="2ED454F8"/>
    <w:rsid w:val="2EFF5ACB"/>
    <w:rsid w:val="2F177156"/>
    <w:rsid w:val="2F352CAA"/>
    <w:rsid w:val="2F3B5D84"/>
    <w:rsid w:val="2F4A58F3"/>
    <w:rsid w:val="2F7E5E88"/>
    <w:rsid w:val="2F8D3D9C"/>
    <w:rsid w:val="2F8D7241"/>
    <w:rsid w:val="2FA076A9"/>
    <w:rsid w:val="2FA47C46"/>
    <w:rsid w:val="301A0002"/>
    <w:rsid w:val="30320746"/>
    <w:rsid w:val="3069714F"/>
    <w:rsid w:val="307D0C8A"/>
    <w:rsid w:val="307D78E9"/>
    <w:rsid w:val="30881421"/>
    <w:rsid w:val="308B2D36"/>
    <w:rsid w:val="30A036ED"/>
    <w:rsid w:val="30A642EC"/>
    <w:rsid w:val="30AA26C6"/>
    <w:rsid w:val="30AE4D85"/>
    <w:rsid w:val="31134756"/>
    <w:rsid w:val="311A4F41"/>
    <w:rsid w:val="312967F0"/>
    <w:rsid w:val="31376F08"/>
    <w:rsid w:val="313976E9"/>
    <w:rsid w:val="314503CA"/>
    <w:rsid w:val="31826E30"/>
    <w:rsid w:val="318E5C1C"/>
    <w:rsid w:val="31D22B9D"/>
    <w:rsid w:val="31F15525"/>
    <w:rsid w:val="32192AF6"/>
    <w:rsid w:val="323C5E04"/>
    <w:rsid w:val="328B2CEB"/>
    <w:rsid w:val="32996B4D"/>
    <w:rsid w:val="32A904A7"/>
    <w:rsid w:val="32C378D8"/>
    <w:rsid w:val="32C866CC"/>
    <w:rsid w:val="32D61860"/>
    <w:rsid w:val="32E01C49"/>
    <w:rsid w:val="32E572EC"/>
    <w:rsid w:val="32EA11F1"/>
    <w:rsid w:val="33072A8F"/>
    <w:rsid w:val="330F45BC"/>
    <w:rsid w:val="33195E37"/>
    <w:rsid w:val="336055F3"/>
    <w:rsid w:val="3380047C"/>
    <w:rsid w:val="339A0A0F"/>
    <w:rsid w:val="33B200A9"/>
    <w:rsid w:val="33C51A72"/>
    <w:rsid w:val="33DD2D1F"/>
    <w:rsid w:val="34262707"/>
    <w:rsid w:val="34587F04"/>
    <w:rsid w:val="34844189"/>
    <w:rsid w:val="34857FA3"/>
    <w:rsid w:val="348F254C"/>
    <w:rsid w:val="34A51F47"/>
    <w:rsid w:val="34B4733C"/>
    <w:rsid w:val="34BB01FC"/>
    <w:rsid w:val="34C82375"/>
    <w:rsid w:val="34D67F16"/>
    <w:rsid w:val="34DC268F"/>
    <w:rsid w:val="34E66EA0"/>
    <w:rsid w:val="34FA2176"/>
    <w:rsid w:val="350E3A8A"/>
    <w:rsid w:val="35184FD1"/>
    <w:rsid w:val="351E2138"/>
    <w:rsid w:val="352E4F36"/>
    <w:rsid w:val="35445297"/>
    <w:rsid w:val="358135A9"/>
    <w:rsid w:val="35965281"/>
    <w:rsid w:val="35A61154"/>
    <w:rsid w:val="35D438A7"/>
    <w:rsid w:val="35E907E7"/>
    <w:rsid w:val="3604521C"/>
    <w:rsid w:val="3612142C"/>
    <w:rsid w:val="36121FD6"/>
    <w:rsid w:val="362B48EF"/>
    <w:rsid w:val="36336B35"/>
    <w:rsid w:val="363C0D18"/>
    <w:rsid w:val="36403694"/>
    <w:rsid w:val="3650042A"/>
    <w:rsid w:val="366652B8"/>
    <w:rsid w:val="366B1F45"/>
    <w:rsid w:val="368C5E8E"/>
    <w:rsid w:val="37085788"/>
    <w:rsid w:val="37230AD2"/>
    <w:rsid w:val="373423BB"/>
    <w:rsid w:val="373B59A5"/>
    <w:rsid w:val="373D4C6F"/>
    <w:rsid w:val="37525D06"/>
    <w:rsid w:val="376D0FF4"/>
    <w:rsid w:val="377A26DB"/>
    <w:rsid w:val="379A4EF3"/>
    <w:rsid w:val="37D067A7"/>
    <w:rsid w:val="37F024D9"/>
    <w:rsid w:val="38214D04"/>
    <w:rsid w:val="38A01478"/>
    <w:rsid w:val="38A7058F"/>
    <w:rsid w:val="38B33064"/>
    <w:rsid w:val="38B669F2"/>
    <w:rsid w:val="38E4205E"/>
    <w:rsid w:val="38FB71CD"/>
    <w:rsid w:val="38FC4F55"/>
    <w:rsid w:val="390E0262"/>
    <w:rsid w:val="39187722"/>
    <w:rsid w:val="391B1354"/>
    <w:rsid w:val="391B66A7"/>
    <w:rsid w:val="392D266D"/>
    <w:rsid w:val="394B58E3"/>
    <w:rsid w:val="397C2BB5"/>
    <w:rsid w:val="398B5316"/>
    <w:rsid w:val="39C5102A"/>
    <w:rsid w:val="39D0456C"/>
    <w:rsid w:val="39D049A7"/>
    <w:rsid w:val="39D9079F"/>
    <w:rsid w:val="39FD0AAE"/>
    <w:rsid w:val="3A0458D2"/>
    <w:rsid w:val="3A3D6AFC"/>
    <w:rsid w:val="3A413A43"/>
    <w:rsid w:val="3A413D14"/>
    <w:rsid w:val="3A551B23"/>
    <w:rsid w:val="3A713201"/>
    <w:rsid w:val="3A8C19CF"/>
    <w:rsid w:val="3AC13B86"/>
    <w:rsid w:val="3ADC62D4"/>
    <w:rsid w:val="3AEB188C"/>
    <w:rsid w:val="3AEF10C5"/>
    <w:rsid w:val="3B493CBA"/>
    <w:rsid w:val="3B5D1C49"/>
    <w:rsid w:val="3BA87207"/>
    <w:rsid w:val="3BAD44EF"/>
    <w:rsid w:val="3BB11E6C"/>
    <w:rsid w:val="3BB5781A"/>
    <w:rsid w:val="3BE23BF8"/>
    <w:rsid w:val="3BE42F26"/>
    <w:rsid w:val="3BEC47B2"/>
    <w:rsid w:val="3BFF2018"/>
    <w:rsid w:val="3C037258"/>
    <w:rsid w:val="3C304B60"/>
    <w:rsid w:val="3C3E77F6"/>
    <w:rsid w:val="3C40357F"/>
    <w:rsid w:val="3C4F423C"/>
    <w:rsid w:val="3C5B0BA9"/>
    <w:rsid w:val="3C670D1B"/>
    <w:rsid w:val="3C947DEF"/>
    <w:rsid w:val="3CAF6FC8"/>
    <w:rsid w:val="3CBA7494"/>
    <w:rsid w:val="3CC23247"/>
    <w:rsid w:val="3CCC2A34"/>
    <w:rsid w:val="3CD030E4"/>
    <w:rsid w:val="3CEC203D"/>
    <w:rsid w:val="3D061C54"/>
    <w:rsid w:val="3D09593B"/>
    <w:rsid w:val="3D200D42"/>
    <w:rsid w:val="3D240211"/>
    <w:rsid w:val="3D514F00"/>
    <w:rsid w:val="3D81492F"/>
    <w:rsid w:val="3D8352D5"/>
    <w:rsid w:val="3D8A3296"/>
    <w:rsid w:val="3D8C492D"/>
    <w:rsid w:val="3DB43BA3"/>
    <w:rsid w:val="3DB473AE"/>
    <w:rsid w:val="3DD97293"/>
    <w:rsid w:val="3DDB59C3"/>
    <w:rsid w:val="3DFE0BB1"/>
    <w:rsid w:val="3E0A25D2"/>
    <w:rsid w:val="3E0F009D"/>
    <w:rsid w:val="3E196DF2"/>
    <w:rsid w:val="3E38364E"/>
    <w:rsid w:val="3E6C3837"/>
    <w:rsid w:val="3E746D63"/>
    <w:rsid w:val="3E850AB9"/>
    <w:rsid w:val="3E94148E"/>
    <w:rsid w:val="3EE01280"/>
    <w:rsid w:val="3EF15120"/>
    <w:rsid w:val="3EF51F26"/>
    <w:rsid w:val="3F0A5C35"/>
    <w:rsid w:val="3F23208A"/>
    <w:rsid w:val="3F37197A"/>
    <w:rsid w:val="3F463820"/>
    <w:rsid w:val="3F4C5619"/>
    <w:rsid w:val="3F7F5307"/>
    <w:rsid w:val="3FA36BF9"/>
    <w:rsid w:val="3FC13367"/>
    <w:rsid w:val="40024BC2"/>
    <w:rsid w:val="40122082"/>
    <w:rsid w:val="40240F89"/>
    <w:rsid w:val="40A46B8A"/>
    <w:rsid w:val="40B2295D"/>
    <w:rsid w:val="40B32392"/>
    <w:rsid w:val="40B50E50"/>
    <w:rsid w:val="40E251F4"/>
    <w:rsid w:val="40E535A3"/>
    <w:rsid w:val="40E73ACD"/>
    <w:rsid w:val="41062798"/>
    <w:rsid w:val="41140B25"/>
    <w:rsid w:val="412409DB"/>
    <w:rsid w:val="41397D08"/>
    <w:rsid w:val="41520C49"/>
    <w:rsid w:val="41773121"/>
    <w:rsid w:val="417D3DE6"/>
    <w:rsid w:val="41940DDD"/>
    <w:rsid w:val="41A6431C"/>
    <w:rsid w:val="41F35BAC"/>
    <w:rsid w:val="42217B67"/>
    <w:rsid w:val="42310CA7"/>
    <w:rsid w:val="42DD6873"/>
    <w:rsid w:val="430B638F"/>
    <w:rsid w:val="431C5C2D"/>
    <w:rsid w:val="436D047F"/>
    <w:rsid w:val="438748EF"/>
    <w:rsid w:val="43AA6464"/>
    <w:rsid w:val="43FD03FF"/>
    <w:rsid w:val="440006B5"/>
    <w:rsid w:val="440D6D4B"/>
    <w:rsid w:val="44217C83"/>
    <w:rsid w:val="44660EB5"/>
    <w:rsid w:val="446923F7"/>
    <w:rsid w:val="44875711"/>
    <w:rsid w:val="449340C4"/>
    <w:rsid w:val="44C86AAC"/>
    <w:rsid w:val="44CA242F"/>
    <w:rsid w:val="44CA32F7"/>
    <w:rsid w:val="44DD6CB3"/>
    <w:rsid w:val="44DF56E6"/>
    <w:rsid w:val="44F25A59"/>
    <w:rsid w:val="45B90B48"/>
    <w:rsid w:val="46163033"/>
    <w:rsid w:val="46670515"/>
    <w:rsid w:val="467B0332"/>
    <w:rsid w:val="46BB071B"/>
    <w:rsid w:val="46BF208F"/>
    <w:rsid w:val="46C27154"/>
    <w:rsid w:val="46CB1D8A"/>
    <w:rsid w:val="46E44FE1"/>
    <w:rsid w:val="4713701D"/>
    <w:rsid w:val="472C328E"/>
    <w:rsid w:val="47392A3A"/>
    <w:rsid w:val="47491A2B"/>
    <w:rsid w:val="476A6681"/>
    <w:rsid w:val="476B776A"/>
    <w:rsid w:val="47731BFC"/>
    <w:rsid w:val="47891385"/>
    <w:rsid w:val="47892946"/>
    <w:rsid w:val="479509B6"/>
    <w:rsid w:val="479557D8"/>
    <w:rsid w:val="479A4EA3"/>
    <w:rsid w:val="47C80031"/>
    <w:rsid w:val="47CB053E"/>
    <w:rsid w:val="47CF5DDA"/>
    <w:rsid w:val="47D4105D"/>
    <w:rsid w:val="47E201CE"/>
    <w:rsid w:val="47E70E32"/>
    <w:rsid w:val="47FD0FFA"/>
    <w:rsid w:val="48031317"/>
    <w:rsid w:val="48060B3C"/>
    <w:rsid w:val="481406F4"/>
    <w:rsid w:val="48220B2A"/>
    <w:rsid w:val="48883C2B"/>
    <w:rsid w:val="489D5D47"/>
    <w:rsid w:val="48A8162E"/>
    <w:rsid w:val="48AB5C1B"/>
    <w:rsid w:val="48D25FD9"/>
    <w:rsid w:val="48DF7812"/>
    <w:rsid w:val="48E87EBD"/>
    <w:rsid w:val="48FC2AE5"/>
    <w:rsid w:val="49166A23"/>
    <w:rsid w:val="493468D6"/>
    <w:rsid w:val="498522D4"/>
    <w:rsid w:val="49987A28"/>
    <w:rsid w:val="499D7C4A"/>
    <w:rsid w:val="499F25DB"/>
    <w:rsid w:val="49B5291D"/>
    <w:rsid w:val="49BE7B1F"/>
    <w:rsid w:val="49D4733D"/>
    <w:rsid w:val="49D6306E"/>
    <w:rsid w:val="49FE7240"/>
    <w:rsid w:val="4A0155A6"/>
    <w:rsid w:val="4A2A5B99"/>
    <w:rsid w:val="4A470778"/>
    <w:rsid w:val="4A5607F8"/>
    <w:rsid w:val="4A684286"/>
    <w:rsid w:val="4AA53C08"/>
    <w:rsid w:val="4AB05B58"/>
    <w:rsid w:val="4AB90546"/>
    <w:rsid w:val="4AE00DC9"/>
    <w:rsid w:val="4AFF6A5E"/>
    <w:rsid w:val="4B1E5ECC"/>
    <w:rsid w:val="4B411E26"/>
    <w:rsid w:val="4B744C54"/>
    <w:rsid w:val="4B9B6D58"/>
    <w:rsid w:val="4BAB046D"/>
    <w:rsid w:val="4BEB39D1"/>
    <w:rsid w:val="4BEE30E7"/>
    <w:rsid w:val="4BF7491D"/>
    <w:rsid w:val="4BFC0915"/>
    <w:rsid w:val="4C486C01"/>
    <w:rsid w:val="4C5152B7"/>
    <w:rsid w:val="4C54029E"/>
    <w:rsid w:val="4C5D21E2"/>
    <w:rsid w:val="4C63338E"/>
    <w:rsid w:val="4C7A20E3"/>
    <w:rsid w:val="4CA854F0"/>
    <w:rsid w:val="4CEF445F"/>
    <w:rsid w:val="4D5F358E"/>
    <w:rsid w:val="4D946590"/>
    <w:rsid w:val="4DA76A46"/>
    <w:rsid w:val="4DE156B3"/>
    <w:rsid w:val="4DEB794F"/>
    <w:rsid w:val="4E082439"/>
    <w:rsid w:val="4E15741C"/>
    <w:rsid w:val="4E2E2B91"/>
    <w:rsid w:val="4E5307CA"/>
    <w:rsid w:val="4E904B1F"/>
    <w:rsid w:val="4E954DDF"/>
    <w:rsid w:val="4EC50AEF"/>
    <w:rsid w:val="4ED077DC"/>
    <w:rsid w:val="4EFA1AB4"/>
    <w:rsid w:val="4EFD0D0F"/>
    <w:rsid w:val="4F18636C"/>
    <w:rsid w:val="4F1A2B37"/>
    <w:rsid w:val="4F2938BB"/>
    <w:rsid w:val="4F397766"/>
    <w:rsid w:val="4F6335B2"/>
    <w:rsid w:val="4F653860"/>
    <w:rsid w:val="4F6D1D66"/>
    <w:rsid w:val="4F8D2275"/>
    <w:rsid w:val="4F9544C7"/>
    <w:rsid w:val="4FC03CA9"/>
    <w:rsid w:val="4FC07444"/>
    <w:rsid w:val="4FC10B9D"/>
    <w:rsid w:val="4FE22ADA"/>
    <w:rsid w:val="50086DAB"/>
    <w:rsid w:val="502340BF"/>
    <w:rsid w:val="50251F0B"/>
    <w:rsid w:val="50340C2A"/>
    <w:rsid w:val="503A2293"/>
    <w:rsid w:val="5045131F"/>
    <w:rsid w:val="506176D1"/>
    <w:rsid w:val="506A4F48"/>
    <w:rsid w:val="5076586D"/>
    <w:rsid w:val="50911E77"/>
    <w:rsid w:val="50BB7718"/>
    <w:rsid w:val="50BF50EC"/>
    <w:rsid w:val="51085897"/>
    <w:rsid w:val="510E2713"/>
    <w:rsid w:val="510F51F2"/>
    <w:rsid w:val="512B01F7"/>
    <w:rsid w:val="512B4ABD"/>
    <w:rsid w:val="51AD14BB"/>
    <w:rsid w:val="52186CA6"/>
    <w:rsid w:val="52254EEE"/>
    <w:rsid w:val="522F21C5"/>
    <w:rsid w:val="524C5E63"/>
    <w:rsid w:val="52886D84"/>
    <w:rsid w:val="52CE1D80"/>
    <w:rsid w:val="52EB3B04"/>
    <w:rsid w:val="53055654"/>
    <w:rsid w:val="531279BB"/>
    <w:rsid w:val="53141176"/>
    <w:rsid w:val="531B18A9"/>
    <w:rsid w:val="532A0507"/>
    <w:rsid w:val="53302BD5"/>
    <w:rsid w:val="534E3A78"/>
    <w:rsid w:val="535406C1"/>
    <w:rsid w:val="535856D4"/>
    <w:rsid w:val="537F1C03"/>
    <w:rsid w:val="5382068F"/>
    <w:rsid w:val="53A1577B"/>
    <w:rsid w:val="53BB2078"/>
    <w:rsid w:val="53D03AC3"/>
    <w:rsid w:val="5424378E"/>
    <w:rsid w:val="54284D6A"/>
    <w:rsid w:val="543B276A"/>
    <w:rsid w:val="543E7141"/>
    <w:rsid w:val="54434AAB"/>
    <w:rsid w:val="545055CB"/>
    <w:rsid w:val="545D27A6"/>
    <w:rsid w:val="54A1344D"/>
    <w:rsid w:val="54A22F54"/>
    <w:rsid w:val="54A94054"/>
    <w:rsid w:val="54B80F91"/>
    <w:rsid w:val="54D421E2"/>
    <w:rsid w:val="54E173FC"/>
    <w:rsid w:val="55193CA7"/>
    <w:rsid w:val="55984B3D"/>
    <w:rsid w:val="559F7531"/>
    <w:rsid w:val="55B6024F"/>
    <w:rsid w:val="55C411EC"/>
    <w:rsid w:val="55E156E1"/>
    <w:rsid w:val="561849C7"/>
    <w:rsid w:val="567F51C0"/>
    <w:rsid w:val="56B555F4"/>
    <w:rsid w:val="56C754A5"/>
    <w:rsid w:val="56D73628"/>
    <w:rsid w:val="56DD2B16"/>
    <w:rsid w:val="57042BC6"/>
    <w:rsid w:val="57056DF3"/>
    <w:rsid w:val="57267A41"/>
    <w:rsid w:val="57375785"/>
    <w:rsid w:val="573A1530"/>
    <w:rsid w:val="573E57FA"/>
    <w:rsid w:val="57414B80"/>
    <w:rsid w:val="575C4B43"/>
    <w:rsid w:val="57BB0E19"/>
    <w:rsid w:val="57CB0C9A"/>
    <w:rsid w:val="57D43A5A"/>
    <w:rsid w:val="57DB42F1"/>
    <w:rsid w:val="57DC7D3A"/>
    <w:rsid w:val="58132EF7"/>
    <w:rsid w:val="58330D1C"/>
    <w:rsid w:val="58562280"/>
    <w:rsid w:val="585D4CFB"/>
    <w:rsid w:val="58924D7D"/>
    <w:rsid w:val="589F1878"/>
    <w:rsid w:val="58D009A0"/>
    <w:rsid w:val="58E51E0F"/>
    <w:rsid w:val="59104DB1"/>
    <w:rsid w:val="592A39DE"/>
    <w:rsid w:val="593E6411"/>
    <w:rsid w:val="595B535C"/>
    <w:rsid w:val="596C3ECC"/>
    <w:rsid w:val="59C10FE9"/>
    <w:rsid w:val="59E979D6"/>
    <w:rsid w:val="59ED4265"/>
    <w:rsid w:val="5A3D2AE2"/>
    <w:rsid w:val="5A663112"/>
    <w:rsid w:val="5A7D2208"/>
    <w:rsid w:val="5A835E2D"/>
    <w:rsid w:val="5A8C31BC"/>
    <w:rsid w:val="5A8D15DB"/>
    <w:rsid w:val="5A9B16DE"/>
    <w:rsid w:val="5ABE2392"/>
    <w:rsid w:val="5AD17240"/>
    <w:rsid w:val="5AD95B0B"/>
    <w:rsid w:val="5AF976F5"/>
    <w:rsid w:val="5AFC560F"/>
    <w:rsid w:val="5B02049E"/>
    <w:rsid w:val="5B1D2960"/>
    <w:rsid w:val="5B22365C"/>
    <w:rsid w:val="5B4E3425"/>
    <w:rsid w:val="5B505906"/>
    <w:rsid w:val="5B544BCA"/>
    <w:rsid w:val="5B5910C3"/>
    <w:rsid w:val="5B71372D"/>
    <w:rsid w:val="5B792FA1"/>
    <w:rsid w:val="5B832ECB"/>
    <w:rsid w:val="5BA932FD"/>
    <w:rsid w:val="5BAA5E4F"/>
    <w:rsid w:val="5BDC27D0"/>
    <w:rsid w:val="5BF22FC6"/>
    <w:rsid w:val="5BF41B96"/>
    <w:rsid w:val="5BFC16C8"/>
    <w:rsid w:val="5C356427"/>
    <w:rsid w:val="5C392E41"/>
    <w:rsid w:val="5C543947"/>
    <w:rsid w:val="5C5F100A"/>
    <w:rsid w:val="5C601368"/>
    <w:rsid w:val="5C680697"/>
    <w:rsid w:val="5C8E744B"/>
    <w:rsid w:val="5CBE59D3"/>
    <w:rsid w:val="5CCF7D3D"/>
    <w:rsid w:val="5CD63885"/>
    <w:rsid w:val="5D146A78"/>
    <w:rsid w:val="5D154455"/>
    <w:rsid w:val="5D2523C5"/>
    <w:rsid w:val="5D5B4927"/>
    <w:rsid w:val="5D6B238B"/>
    <w:rsid w:val="5D75271C"/>
    <w:rsid w:val="5D7F1C7A"/>
    <w:rsid w:val="5DA64E8E"/>
    <w:rsid w:val="5DB43A93"/>
    <w:rsid w:val="5DCD5EA7"/>
    <w:rsid w:val="5DFA0096"/>
    <w:rsid w:val="5E104EA2"/>
    <w:rsid w:val="5E413BB9"/>
    <w:rsid w:val="5E4563B6"/>
    <w:rsid w:val="5E772B01"/>
    <w:rsid w:val="5E835022"/>
    <w:rsid w:val="5EC7063D"/>
    <w:rsid w:val="5ED77A80"/>
    <w:rsid w:val="5ED871CC"/>
    <w:rsid w:val="5EDD0B0F"/>
    <w:rsid w:val="5EDE754C"/>
    <w:rsid w:val="5EE5693B"/>
    <w:rsid w:val="5EE9278E"/>
    <w:rsid w:val="5EF55144"/>
    <w:rsid w:val="5F117D15"/>
    <w:rsid w:val="5F3575EC"/>
    <w:rsid w:val="5F3945E8"/>
    <w:rsid w:val="5F3F77F3"/>
    <w:rsid w:val="5F7016AD"/>
    <w:rsid w:val="5F8238CA"/>
    <w:rsid w:val="5F892A9A"/>
    <w:rsid w:val="5F8F6D88"/>
    <w:rsid w:val="5FAF2323"/>
    <w:rsid w:val="5FB32D4A"/>
    <w:rsid w:val="5FB34F76"/>
    <w:rsid w:val="5FC15D30"/>
    <w:rsid w:val="5FE94FB9"/>
    <w:rsid w:val="601020D3"/>
    <w:rsid w:val="606B1F9B"/>
    <w:rsid w:val="606C3287"/>
    <w:rsid w:val="607467E6"/>
    <w:rsid w:val="607B20EE"/>
    <w:rsid w:val="607F2918"/>
    <w:rsid w:val="607F630A"/>
    <w:rsid w:val="60A33371"/>
    <w:rsid w:val="60AF33CD"/>
    <w:rsid w:val="60BF7035"/>
    <w:rsid w:val="60C03A75"/>
    <w:rsid w:val="60D076AF"/>
    <w:rsid w:val="61074B2C"/>
    <w:rsid w:val="611F20D1"/>
    <w:rsid w:val="61402804"/>
    <w:rsid w:val="61540F2F"/>
    <w:rsid w:val="61556ABF"/>
    <w:rsid w:val="61590CF6"/>
    <w:rsid w:val="61640D85"/>
    <w:rsid w:val="616B2D09"/>
    <w:rsid w:val="617F117B"/>
    <w:rsid w:val="618D56B1"/>
    <w:rsid w:val="618E5A8B"/>
    <w:rsid w:val="61922AFE"/>
    <w:rsid w:val="619E6659"/>
    <w:rsid w:val="61D53DD7"/>
    <w:rsid w:val="61E12202"/>
    <w:rsid w:val="61E85ACF"/>
    <w:rsid w:val="62083515"/>
    <w:rsid w:val="621B5382"/>
    <w:rsid w:val="62661F7A"/>
    <w:rsid w:val="626E5C32"/>
    <w:rsid w:val="628E6A01"/>
    <w:rsid w:val="62904726"/>
    <w:rsid w:val="62B0628B"/>
    <w:rsid w:val="62F9751E"/>
    <w:rsid w:val="631817F6"/>
    <w:rsid w:val="63273414"/>
    <w:rsid w:val="63542877"/>
    <w:rsid w:val="635D53DE"/>
    <w:rsid w:val="636D73B2"/>
    <w:rsid w:val="638B337E"/>
    <w:rsid w:val="6396020A"/>
    <w:rsid w:val="639A3E5B"/>
    <w:rsid w:val="639D3514"/>
    <w:rsid w:val="63A33EEF"/>
    <w:rsid w:val="63BB3ADE"/>
    <w:rsid w:val="63D20EE9"/>
    <w:rsid w:val="63E922F9"/>
    <w:rsid w:val="63ED38B5"/>
    <w:rsid w:val="63F14DD0"/>
    <w:rsid w:val="640A4BF9"/>
    <w:rsid w:val="640C4CBB"/>
    <w:rsid w:val="644071A4"/>
    <w:rsid w:val="6463410B"/>
    <w:rsid w:val="646D3F62"/>
    <w:rsid w:val="64701233"/>
    <w:rsid w:val="64A0298E"/>
    <w:rsid w:val="64A422EC"/>
    <w:rsid w:val="64D32942"/>
    <w:rsid w:val="64E52218"/>
    <w:rsid w:val="650C0849"/>
    <w:rsid w:val="65341F7B"/>
    <w:rsid w:val="653F2339"/>
    <w:rsid w:val="6540511A"/>
    <w:rsid w:val="655C1341"/>
    <w:rsid w:val="65713C13"/>
    <w:rsid w:val="658A70BB"/>
    <w:rsid w:val="65C26D7E"/>
    <w:rsid w:val="65C606D8"/>
    <w:rsid w:val="65FA0A26"/>
    <w:rsid w:val="660060CB"/>
    <w:rsid w:val="66492DF9"/>
    <w:rsid w:val="66BD20BA"/>
    <w:rsid w:val="66C67774"/>
    <w:rsid w:val="66CE67FB"/>
    <w:rsid w:val="66CF5083"/>
    <w:rsid w:val="66D95D0D"/>
    <w:rsid w:val="66F2149F"/>
    <w:rsid w:val="673718D2"/>
    <w:rsid w:val="674072BF"/>
    <w:rsid w:val="67515CD5"/>
    <w:rsid w:val="67811533"/>
    <w:rsid w:val="678F75B3"/>
    <w:rsid w:val="67956840"/>
    <w:rsid w:val="67E0052E"/>
    <w:rsid w:val="67E64B5E"/>
    <w:rsid w:val="67F042A6"/>
    <w:rsid w:val="68114957"/>
    <w:rsid w:val="681B35F8"/>
    <w:rsid w:val="682843D4"/>
    <w:rsid w:val="682A17F5"/>
    <w:rsid w:val="68314ED3"/>
    <w:rsid w:val="683546D6"/>
    <w:rsid w:val="68735139"/>
    <w:rsid w:val="68816D7B"/>
    <w:rsid w:val="68A44F05"/>
    <w:rsid w:val="68B9527B"/>
    <w:rsid w:val="68DA599F"/>
    <w:rsid w:val="690C1FF9"/>
    <w:rsid w:val="691E4C71"/>
    <w:rsid w:val="69347C5B"/>
    <w:rsid w:val="693D1CB5"/>
    <w:rsid w:val="69E37D2D"/>
    <w:rsid w:val="69FF3AC9"/>
    <w:rsid w:val="6A0B4AF4"/>
    <w:rsid w:val="6A201C4E"/>
    <w:rsid w:val="6A235EA7"/>
    <w:rsid w:val="6A6F72A4"/>
    <w:rsid w:val="6A7D3DDD"/>
    <w:rsid w:val="6A810ADE"/>
    <w:rsid w:val="6AAF1322"/>
    <w:rsid w:val="6ABF4A24"/>
    <w:rsid w:val="6ACA0BF5"/>
    <w:rsid w:val="6AD80589"/>
    <w:rsid w:val="6B523989"/>
    <w:rsid w:val="6B5275DD"/>
    <w:rsid w:val="6B8E7D65"/>
    <w:rsid w:val="6BA94B95"/>
    <w:rsid w:val="6BC14DDF"/>
    <w:rsid w:val="6BC8195B"/>
    <w:rsid w:val="6BD07FC3"/>
    <w:rsid w:val="6BFB15DB"/>
    <w:rsid w:val="6C17656C"/>
    <w:rsid w:val="6C19304C"/>
    <w:rsid w:val="6C2958FC"/>
    <w:rsid w:val="6C4E489F"/>
    <w:rsid w:val="6C5C7CA7"/>
    <w:rsid w:val="6C6C20EE"/>
    <w:rsid w:val="6CAC2901"/>
    <w:rsid w:val="6CBC6EDB"/>
    <w:rsid w:val="6CF03199"/>
    <w:rsid w:val="6D3C30DC"/>
    <w:rsid w:val="6D3D47A4"/>
    <w:rsid w:val="6D5F12AA"/>
    <w:rsid w:val="6D952556"/>
    <w:rsid w:val="6DC45408"/>
    <w:rsid w:val="6DD50BCE"/>
    <w:rsid w:val="6DD863A4"/>
    <w:rsid w:val="6DDD5017"/>
    <w:rsid w:val="6DE3779F"/>
    <w:rsid w:val="6E226FEC"/>
    <w:rsid w:val="6E317409"/>
    <w:rsid w:val="6E435411"/>
    <w:rsid w:val="6E610FA5"/>
    <w:rsid w:val="6E6550D8"/>
    <w:rsid w:val="6E7523BF"/>
    <w:rsid w:val="6E966769"/>
    <w:rsid w:val="6E973F9B"/>
    <w:rsid w:val="6EAA2436"/>
    <w:rsid w:val="6EC64157"/>
    <w:rsid w:val="6F3B7BC3"/>
    <w:rsid w:val="6F7A2BFE"/>
    <w:rsid w:val="6F956418"/>
    <w:rsid w:val="6FA678D7"/>
    <w:rsid w:val="6FD527A1"/>
    <w:rsid w:val="70094468"/>
    <w:rsid w:val="703B6064"/>
    <w:rsid w:val="70473A60"/>
    <w:rsid w:val="706C2BC9"/>
    <w:rsid w:val="70781557"/>
    <w:rsid w:val="707920C3"/>
    <w:rsid w:val="70A05883"/>
    <w:rsid w:val="70B75733"/>
    <w:rsid w:val="70B82917"/>
    <w:rsid w:val="710358DF"/>
    <w:rsid w:val="71233185"/>
    <w:rsid w:val="712778E3"/>
    <w:rsid w:val="713D3965"/>
    <w:rsid w:val="71453340"/>
    <w:rsid w:val="714A02D7"/>
    <w:rsid w:val="71755457"/>
    <w:rsid w:val="71A57920"/>
    <w:rsid w:val="71C16647"/>
    <w:rsid w:val="71CD1B66"/>
    <w:rsid w:val="71DA1E23"/>
    <w:rsid w:val="71DC3B27"/>
    <w:rsid w:val="71F80671"/>
    <w:rsid w:val="71F94B2A"/>
    <w:rsid w:val="721C62B3"/>
    <w:rsid w:val="724B48F1"/>
    <w:rsid w:val="7262497D"/>
    <w:rsid w:val="72675569"/>
    <w:rsid w:val="72763B61"/>
    <w:rsid w:val="72CC17CA"/>
    <w:rsid w:val="72E04962"/>
    <w:rsid w:val="72EE0705"/>
    <w:rsid w:val="72EE0BE9"/>
    <w:rsid w:val="731A5C96"/>
    <w:rsid w:val="733525AE"/>
    <w:rsid w:val="73495D03"/>
    <w:rsid w:val="735A26E0"/>
    <w:rsid w:val="73604CC9"/>
    <w:rsid w:val="7364600D"/>
    <w:rsid w:val="73812D4F"/>
    <w:rsid w:val="73C475A4"/>
    <w:rsid w:val="73C8468F"/>
    <w:rsid w:val="73D06507"/>
    <w:rsid w:val="73DB7DDC"/>
    <w:rsid w:val="73E03BD4"/>
    <w:rsid w:val="73E72233"/>
    <w:rsid w:val="73E856FA"/>
    <w:rsid w:val="740A1881"/>
    <w:rsid w:val="742D4090"/>
    <w:rsid w:val="744F29CB"/>
    <w:rsid w:val="748D222D"/>
    <w:rsid w:val="74B67A9A"/>
    <w:rsid w:val="74B91DE3"/>
    <w:rsid w:val="74BB510E"/>
    <w:rsid w:val="74F94DAE"/>
    <w:rsid w:val="751F04AC"/>
    <w:rsid w:val="754023FF"/>
    <w:rsid w:val="754A14A2"/>
    <w:rsid w:val="75921CEB"/>
    <w:rsid w:val="75A0441A"/>
    <w:rsid w:val="75C91B42"/>
    <w:rsid w:val="75CD4AD3"/>
    <w:rsid w:val="75D120EB"/>
    <w:rsid w:val="75ED687C"/>
    <w:rsid w:val="76085B36"/>
    <w:rsid w:val="7609105F"/>
    <w:rsid w:val="76241941"/>
    <w:rsid w:val="762B6A28"/>
    <w:rsid w:val="763703E4"/>
    <w:rsid w:val="763E1354"/>
    <w:rsid w:val="766E64DB"/>
    <w:rsid w:val="76703500"/>
    <w:rsid w:val="76732D1E"/>
    <w:rsid w:val="76D74AD4"/>
    <w:rsid w:val="77013E25"/>
    <w:rsid w:val="772F460B"/>
    <w:rsid w:val="773A0571"/>
    <w:rsid w:val="779E6C12"/>
    <w:rsid w:val="77A8124D"/>
    <w:rsid w:val="77B16162"/>
    <w:rsid w:val="77C72204"/>
    <w:rsid w:val="77CC7105"/>
    <w:rsid w:val="77E11C15"/>
    <w:rsid w:val="77FA4E68"/>
    <w:rsid w:val="783B563C"/>
    <w:rsid w:val="78534063"/>
    <w:rsid w:val="786851C2"/>
    <w:rsid w:val="78793453"/>
    <w:rsid w:val="78852241"/>
    <w:rsid w:val="789326A7"/>
    <w:rsid w:val="78A147D8"/>
    <w:rsid w:val="78A956A5"/>
    <w:rsid w:val="78AF4E7A"/>
    <w:rsid w:val="78B37735"/>
    <w:rsid w:val="78BD52D8"/>
    <w:rsid w:val="78D83E8A"/>
    <w:rsid w:val="78F46178"/>
    <w:rsid w:val="79397CA5"/>
    <w:rsid w:val="79504628"/>
    <w:rsid w:val="79635225"/>
    <w:rsid w:val="79A1658B"/>
    <w:rsid w:val="79A668B5"/>
    <w:rsid w:val="79C52F28"/>
    <w:rsid w:val="79E120DE"/>
    <w:rsid w:val="7A081EF4"/>
    <w:rsid w:val="7A2A4905"/>
    <w:rsid w:val="7A3F4828"/>
    <w:rsid w:val="7A574882"/>
    <w:rsid w:val="7A5E7D4D"/>
    <w:rsid w:val="7A687E45"/>
    <w:rsid w:val="7A98238A"/>
    <w:rsid w:val="7AC66792"/>
    <w:rsid w:val="7B014274"/>
    <w:rsid w:val="7B0210A0"/>
    <w:rsid w:val="7B156BAA"/>
    <w:rsid w:val="7B164998"/>
    <w:rsid w:val="7B2A664E"/>
    <w:rsid w:val="7B3A2898"/>
    <w:rsid w:val="7B786E05"/>
    <w:rsid w:val="7B856413"/>
    <w:rsid w:val="7B86670A"/>
    <w:rsid w:val="7B886D60"/>
    <w:rsid w:val="7BBF32B8"/>
    <w:rsid w:val="7BE31C8F"/>
    <w:rsid w:val="7BF46376"/>
    <w:rsid w:val="7BF50E76"/>
    <w:rsid w:val="7BFC4E79"/>
    <w:rsid w:val="7C09075B"/>
    <w:rsid w:val="7C0A42CC"/>
    <w:rsid w:val="7C0F46A7"/>
    <w:rsid w:val="7C412227"/>
    <w:rsid w:val="7C45287A"/>
    <w:rsid w:val="7C603D44"/>
    <w:rsid w:val="7C7D0917"/>
    <w:rsid w:val="7C826F76"/>
    <w:rsid w:val="7CB03DAC"/>
    <w:rsid w:val="7CC15A04"/>
    <w:rsid w:val="7CC16FE3"/>
    <w:rsid w:val="7CF42C3E"/>
    <w:rsid w:val="7D125009"/>
    <w:rsid w:val="7D143C1C"/>
    <w:rsid w:val="7D2C2D02"/>
    <w:rsid w:val="7D347B3B"/>
    <w:rsid w:val="7D5E6C60"/>
    <w:rsid w:val="7D8F3CCC"/>
    <w:rsid w:val="7DA5119B"/>
    <w:rsid w:val="7DB9100E"/>
    <w:rsid w:val="7DD178FF"/>
    <w:rsid w:val="7DD93AF5"/>
    <w:rsid w:val="7E08488D"/>
    <w:rsid w:val="7E0B46C6"/>
    <w:rsid w:val="7E29658F"/>
    <w:rsid w:val="7E6C096D"/>
    <w:rsid w:val="7E741A9E"/>
    <w:rsid w:val="7E76669F"/>
    <w:rsid w:val="7E7D3589"/>
    <w:rsid w:val="7E945C6C"/>
    <w:rsid w:val="7E9E36A5"/>
    <w:rsid w:val="7EB97006"/>
    <w:rsid w:val="7EBD706C"/>
    <w:rsid w:val="7F05191B"/>
    <w:rsid w:val="7F0E0284"/>
    <w:rsid w:val="7F42661D"/>
    <w:rsid w:val="7F572FD5"/>
    <w:rsid w:val="7F693A0B"/>
    <w:rsid w:val="7F9230D4"/>
    <w:rsid w:val="7FB03C09"/>
    <w:rsid w:val="7FC2038E"/>
    <w:rsid w:val="7FFC48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paragraph" w:styleId="5">
    <w:name w:val="heading 2"/>
    <w:basedOn w:val="1"/>
    <w:next w:val="1"/>
    <w:qFormat/>
    <w:uiPriority w:val="9"/>
    <w:pPr>
      <w:keepNext/>
      <w:keepLines/>
      <w:spacing w:line="360" w:lineRule="auto"/>
      <w:outlineLvl w:val="1"/>
    </w:pPr>
    <w:rPr>
      <w:bCs/>
      <w:szCs w:val="32"/>
    </w:rPr>
  </w:style>
  <w:style w:type="character" w:default="1" w:styleId="21">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2">
    <w:name w:val="Block Text"/>
    <w:basedOn w:val="1"/>
    <w:next w:val="3"/>
    <w:unhideWhenUsed/>
    <w:qFormat/>
    <w:uiPriority w:val="99"/>
    <w:rPr>
      <w:rFonts w:hint="eastAsia" w:ascii="Calibri" w:hAnsi="Calibri"/>
      <w:sz w:val="30"/>
    </w:rPr>
  </w:style>
  <w:style w:type="paragraph" w:styleId="3">
    <w:name w:val="Title"/>
    <w:basedOn w:val="1"/>
    <w:next w:val="1"/>
    <w:qFormat/>
    <w:uiPriority w:val="10"/>
    <w:rPr>
      <w:rFonts w:hint="eastAsia" w:ascii="Arial" w:hAnsi="Arial"/>
      <w:b/>
      <w:sz w:val="24"/>
    </w:rPr>
  </w:style>
  <w:style w:type="paragraph" w:styleId="6">
    <w:name w:val="Document Map"/>
    <w:basedOn w:val="1"/>
    <w:link w:val="33"/>
    <w:qFormat/>
    <w:uiPriority w:val="0"/>
    <w:rPr>
      <w:rFonts w:ascii="宋体"/>
      <w:sz w:val="18"/>
      <w:szCs w:val="18"/>
    </w:rPr>
  </w:style>
  <w:style w:type="paragraph" w:styleId="7">
    <w:name w:val="annotation text"/>
    <w:basedOn w:val="1"/>
    <w:qFormat/>
    <w:uiPriority w:val="0"/>
    <w:pPr>
      <w:jc w:val="left"/>
    </w:pPr>
  </w:style>
  <w:style w:type="paragraph" w:styleId="8">
    <w:name w:val="Body Text"/>
    <w:basedOn w:val="1"/>
    <w:qFormat/>
    <w:uiPriority w:val="0"/>
    <w:pPr>
      <w:spacing w:line="360" w:lineRule="auto"/>
    </w:pPr>
    <w:rPr>
      <w:rFonts w:ascii="宋体" w:hAnsi="宋体"/>
      <w:sz w:val="24"/>
    </w:rPr>
  </w:style>
  <w:style w:type="paragraph" w:styleId="9">
    <w:name w:val="Body Text Indent"/>
    <w:basedOn w:val="1"/>
    <w:qFormat/>
    <w:uiPriority w:val="0"/>
    <w:pPr>
      <w:spacing w:line="360" w:lineRule="auto"/>
      <w:ind w:firstLine="420" w:firstLineChars="200"/>
    </w:pPr>
    <w:rPr>
      <w:rFonts w:ascii="宋体" w:hAnsi="宋体"/>
    </w:rPr>
  </w:style>
  <w:style w:type="paragraph" w:styleId="10">
    <w:name w:val="Plain Text"/>
    <w:basedOn w:val="1"/>
    <w:link w:val="27"/>
    <w:qFormat/>
    <w:uiPriority w:val="0"/>
    <w:rPr>
      <w:rFonts w:ascii="宋体" w:hAnsi="Courier New" w:cs="Courier New"/>
      <w:szCs w:val="21"/>
    </w:rPr>
  </w:style>
  <w:style w:type="paragraph" w:styleId="11">
    <w:name w:val="Date"/>
    <w:basedOn w:val="1"/>
    <w:next w:val="1"/>
    <w:qFormat/>
    <w:uiPriority w:val="0"/>
    <w:pPr>
      <w:ind w:left="100" w:leftChars="2500"/>
    </w:pPr>
    <w:rPr>
      <w:rFonts w:ascii="宋体" w:hAnsi="宋体"/>
      <w:color w:val="FF6600"/>
      <w:kern w:val="0"/>
      <w:sz w:val="24"/>
    </w:rPr>
  </w:style>
  <w:style w:type="paragraph" w:styleId="12">
    <w:name w:val="Body Text Indent 2"/>
    <w:basedOn w:val="1"/>
    <w:link w:val="26"/>
    <w:qFormat/>
    <w:uiPriority w:val="0"/>
    <w:pPr>
      <w:spacing w:after="120" w:line="480" w:lineRule="auto"/>
      <w:ind w:left="420" w:leftChars="200"/>
    </w:pPr>
  </w:style>
  <w:style w:type="paragraph" w:styleId="13">
    <w:name w:val="Balloon Text"/>
    <w:basedOn w:val="1"/>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Body Text Indent 3"/>
    <w:basedOn w:val="1"/>
    <w:link w:val="28"/>
    <w:qFormat/>
    <w:uiPriority w:val="0"/>
    <w:pPr>
      <w:spacing w:after="120"/>
      <w:ind w:left="420" w:leftChars="200"/>
    </w:pPr>
    <w:rPr>
      <w:sz w:val="16"/>
      <w:szCs w:val="16"/>
    </w:rPr>
  </w:style>
  <w:style w:type="paragraph" w:styleId="17">
    <w:name w:val="Normal (Web)"/>
    <w:basedOn w:val="1"/>
    <w:qFormat/>
    <w:uiPriority w:val="0"/>
    <w:pPr>
      <w:widowControl/>
      <w:spacing w:before="100" w:beforeAutospacing="1" w:after="100" w:afterAutospacing="1"/>
      <w:jc w:val="left"/>
    </w:pPr>
    <w:rPr>
      <w:rFonts w:ascii="宋体"/>
      <w:kern w:val="0"/>
      <w:sz w:val="24"/>
    </w:rPr>
  </w:style>
  <w:style w:type="paragraph" w:styleId="18">
    <w:name w:val="annotation subject"/>
    <w:basedOn w:val="7"/>
    <w:next w:val="7"/>
    <w:qFormat/>
    <w:uiPriority w:val="0"/>
    <w:rPr>
      <w:b/>
      <w:bCs/>
    </w:rPr>
  </w:style>
  <w:style w:type="table" w:styleId="20">
    <w:name w:val="Table Grid"/>
    <w:basedOn w:val="1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2">
    <w:name w:val="page number"/>
    <w:basedOn w:val="21"/>
    <w:qFormat/>
    <w:uiPriority w:val="0"/>
  </w:style>
  <w:style w:type="character" w:styleId="23">
    <w:name w:val="Emphasis"/>
    <w:basedOn w:val="21"/>
    <w:qFormat/>
    <w:uiPriority w:val="0"/>
    <w:rPr>
      <w:i/>
    </w:rPr>
  </w:style>
  <w:style w:type="character" w:styleId="24">
    <w:name w:val="Hyperlink"/>
    <w:basedOn w:val="21"/>
    <w:qFormat/>
    <w:uiPriority w:val="0"/>
    <w:rPr>
      <w:color w:val="0000FF"/>
      <w:u w:val="single"/>
    </w:rPr>
  </w:style>
  <w:style w:type="character" w:styleId="25">
    <w:name w:val="annotation reference"/>
    <w:basedOn w:val="21"/>
    <w:qFormat/>
    <w:uiPriority w:val="0"/>
    <w:rPr>
      <w:sz w:val="21"/>
      <w:szCs w:val="21"/>
    </w:rPr>
  </w:style>
  <w:style w:type="character" w:customStyle="1" w:styleId="26">
    <w:name w:val="正文文本缩进 2 字符"/>
    <w:basedOn w:val="21"/>
    <w:link w:val="12"/>
    <w:qFormat/>
    <w:uiPriority w:val="0"/>
    <w:rPr>
      <w:kern w:val="2"/>
      <w:sz w:val="21"/>
      <w:szCs w:val="24"/>
    </w:rPr>
  </w:style>
  <w:style w:type="character" w:customStyle="1" w:styleId="27">
    <w:name w:val="纯文本 字符"/>
    <w:basedOn w:val="21"/>
    <w:link w:val="10"/>
    <w:qFormat/>
    <w:uiPriority w:val="0"/>
    <w:rPr>
      <w:rFonts w:ascii="宋体" w:hAnsi="Courier New" w:cs="Courier New"/>
      <w:kern w:val="2"/>
      <w:sz w:val="21"/>
      <w:szCs w:val="21"/>
    </w:rPr>
  </w:style>
  <w:style w:type="character" w:customStyle="1" w:styleId="28">
    <w:name w:val="正文文本缩进 3 字符"/>
    <w:basedOn w:val="21"/>
    <w:link w:val="16"/>
    <w:qFormat/>
    <w:uiPriority w:val="0"/>
    <w:rPr>
      <w:kern w:val="2"/>
      <w:sz w:val="16"/>
      <w:szCs w:val="16"/>
    </w:rPr>
  </w:style>
  <w:style w:type="paragraph" w:customStyle="1" w:styleId="29">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styleId="30">
    <w:name w:val="List Paragraph"/>
    <w:basedOn w:val="1"/>
    <w:qFormat/>
    <w:uiPriority w:val="34"/>
    <w:pPr>
      <w:ind w:firstLine="420" w:firstLineChars="200"/>
    </w:pPr>
  </w:style>
  <w:style w:type="paragraph" w:customStyle="1" w:styleId="31">
    <w:name w:val="reader-word-layer reader-word-s1-4"/>
    <w:basedOn w:val="1"/>
    <w:qFormat/>
    <w:uiPriority w:val="0"/>
    <w:pPr>
      <w:widowControl/>
      <w:spacing w:before="100" w:beforeAutospacing="1" w:after="100" w:afterAutospacing="1"/>
      <w:jc w:val="left"/>
    </w:pPr>
    <w:rPr>
      <w:rFonts w:ascii="宋体" w:hAnsi="宋体" w:cs="宋体"/>
      <w:kern w:val="0"/>
      <w:sz w:val="24"/>
    </w:rPr>
  </w:style>
  <w:style w:type="character" w:customStyle="1" w:styleId="32">
    <w:name w:val="正文文本缩进 2 Char1"/>
    <w:basedOn w:val="21"/>
    <w:semiHidden/>
    <w:qFormat/>
    <w:locked/>
    <w:uiPriority w:val="0"/>
    <w:rPr>
      <w:kern w:val="2"/>
      <w:sz w:val="21"/>
      <w:szCs w:val="24"/>
    </w:rPr>
  </w:style>
  <w:style w:type="character" w:customStyle="1" w:styleId="33">
    <w:name w:val="文档结构图 字符"/>
    <w:basedOn w:val="21"/>
    <w:link w:val="6"/>
    <w:qFormat/>
    <w:uiPriority w:val="0"/>
    <w:rPr>
      <w:rFonts w:ascii="宋体"/>
      <w:kern w:val="2"/>
      <w:sz w:val="18"/>
      <w:szCs w:val="18"/>
    </w:rPr>
  </w:style>
  <w:style w:type="paragraph" w:customStyle="1" w:styleId="34">
    <w:name w:val="目录 11"/>
    <w:basedOn w:val="1"/>
    <w:next w:val="1"/>
    <w:qFormat/>
    <w:uiPriority w:val="39"/>
    <w:pPr>
      <w:tabs>
        <w:tab w:val="right" w:leader="dot" w:pos="9241"/>
      </w:tabs>
      <w:spacing w:line="360" w:lineRule="auto"/>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6"/>
    <customShpInfo spid="_x0000_s1045"/>
    <customShpInfo spid="_x0000_s104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BD1B56-4630-4C2F-BE52-E33EF3D1AA7F}">
  <ds:schemaRefs/>
</ds:datastoreItem>
</file>

<file path=docProps/app.xml><?xml version="1.0" encoding="utf-8"?>
<Properties xmlns="http://schemas.openxmlformats.org/officeDocument/2006/extended-properties" xmlns:vt="http://schemas.openxmlformats.org/officeDocument/2006/docPropsVTypes">
  <Template>Normal</Template>
  <Company>junc</Company>
  <Pages>20</Pages>
  <Words>11628</Words>
  <Characters>12174</Characters>
  <Lines>92</Lines>
  <Paragraphs>25</Paragraphs>
  <TotalTime>0</TotalTime>
  <ScaleCrop>false</ScaleCrop>
  <LinksUpToDate>false</LinksUpToDate>
  <CharactersWithSpaces>12457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2022-05-04T13:04:00Z</dcterms:created>
  <dc:creator>Xer</dc:creator>
  <cp:lastModifiedBy>齐虹</cp:lastModifiedBy>
  <cp:lastPrinted>2021-07-15T07:43:00Z</cp:lastPrinted>
  <dcterms:modified xsi:type="dcterms:W3CDTF">2023-04-07T07:00:16Z</dcterms:modified>
  <dc:title>《质量手册》批准发布令</dc:title>
  <cp:revision>1336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8C1B3EE6361D47C2A0FEE456460A9752</vt:lpwstr>
  </property>
</Properties>
</file>